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4F87" w14:textId="77777777" w:rsidR="00842224" w:rsidRPr="00F27787" w:rsidRDefault="00842224" w:rsidP="00842224">
      <w:pPr>
        <w:spacing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3B839CA6" w14:textId="77777777" w:rsidR="00842224" w:rsidRPr="00F27787" w:rsidRDefault="00842224" w:rsidP="00842224">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431D6565" w14:textId="2556EA7D" w:rsidR="00842224" w:rsidRPr="00F27787" w:rsidRDefault="00842224" w:rsidP="00842224">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Πολιτική Αίτηση Αρ. 1</w:t>
      </w:r>
      <w:r>
        <w:rPr>
          <w:rFonts w:ascii="Bookman Old Style" w:hAnsi="Bookman Old Style"/>
          <w:i/>
          <w:sz w:val="28"/>
          <w:szCs w:val="28"/>
          <w:lang w:val="el-GR"/>
        </w:rPr>
        <w:t>1</w:t>
      </w:r>
      <w:r w:rsidRPr="004D0EB3">
        <w:rPr>
          <w:rFonts w:ascii="Bookman Old Style" w:hAnsi="Bookman Old Style"/>
          <w:i/>
          <w:sz w:val="28"/>
          <w:szCs w:val="28"/>
          <w:lang w:val="el-GR"/>
        </w:rPr>
        <w:t>0</w:t>
      </w:r>
      <w:r w:rsidRPr="00F27787">
        <w:rPr>
          <w:rFonts w:ascii="Bookman Old Style" w:hAnsi="Bookman Old Style"/>
          <w:i/>
          <w:sz w:val="28"/>
          <w:szCs w:val="28"/>
          <w:lang w:val="el-GR"/>
        </w:rPr>
        <w:t>/2023</w:t>
      </w:r>
      <w:r w:rsidRPr="00F27787">
        <w:rPr>
          <w:rFonts w:ascii="Bookman Old Style" w:hAnsi="Bookman Old Style"/>
          <w:sz w:val="28"/>
          <w:szCs w:val="28"/>
          <w:lang w:val="el-GR"/>
        </w:rPr>
        <w:t>)</w:t>
      </w:r>
    </w:p>
    <w:p w14:paraId="59C7AC68" w14:textId="77777777" w:rsidR="00842224" w:rsidRDefault="00842224" w:rsidP="00842224">
      <w:pPr>
        <w:jc w:val="center"/>
        <w:rPr>
          <w:rFonts w:ascii="Bookman Old Style" w:hAnsi="Bookman Old Style"/>
          <w:sz w:val="28"/>
          <w:szCs w:val="28"/>
          <w:lang w:val="el-GR"/>
        </w:rPr>
      </w:pPr>
    </w:p>
    <w:p w14:paraId="5C2DEE04" w14:textId="7622DBFC" w:rsidR="00842224" w:rsidRPr="00F27787" w:rsidRDefault="00B91AFC" w:rsidP="00842224">
      <w:pPr>
        <w:jc w:val="center"/>
        <w:rPr>
          <w:rFonts w:ascii="Bookman Old Style" w:hAnsi="Bookman Old Style"/>
          <w:sz w:val="28"/>
          <w:szCs w:val="28"/>
          <w:lang w:val="el-GR"/>
        </w:rPr>
      </w:pPr>
      <w:r>
        <w:rPr>
          <w:rFonts w:ascii="Bookman Old Style" w:hAnsi="Bookman Old Style"/>
          <w:sz w:val="28"/>
          <w:szCs w:val="28"/>
          <w:lang w:val="el-GR"/>
        </w:rPr>
        <w:t xml:space="preserve">9 </w:t>
      </w:r>
      <w:r w:rsidR="00842224">
        <w:rPr>
          <w:rFonts w:ascii="Bookman Old Style" w:hAnsi="Bookman Old Style"/>
          <w:sz w:val="28"/>
          <w:szCs w:val="28"/>
          <w:lang w:val="el-GR"/>
        </w:rPr>
        <w:t>Νοεμβρίου</w:t>
      </w:r>
      <w:r w:rsidR="00842224" w:rsidRPr="00F27787">
        <w:rPr>
          <w:rFonts w:ascii="Bookman Old Style" w:hAnsi="Bookman Old Style"/>
          <w:sz w:val="28"/>
          <w:szCs w:val="28"/>
          <w:lang w:val="el-GR"/>
        </w:rPr>
        <w:t>, 2023</w:t>
      </w:r>
    </w:p>
    <w:p w14:paraId="6911004B" w14:textId="77777777" w:rsidR="00842224" w:rsidRPr="00F27787" w:rsidRDefault="00842224" w:rsidP="00842224">
      <w:pPr>
        <w:jc w:val="center"/>
        <w:rPr>
          <w:rFonts w:ascii="Bookman Old Style" w:hAnsi="Bookman Old Style"/>
          <w:sz w:val="28"/>
          <w:szCs w:val="28"/>
          <w:lang w:val="el-GR"/>
        </w:rPr>
      </w:pPr>
    </w:p>
    <w:p w14:paraId="4C452C37" w14:textId="77777777" w:rsidR="00842224" w:rsidRPr="00F27787" w:rsidRDefault="00842224" w:rsidP="00842224">
      <w:pPr>
        <w:jc w:val="center"/>
        <w:rPr>
          <w:rFonts w:ascii="Bookman Old Style" w:hAnsi="Bookman Old Style"/>
          <w:sz w:val="28"/>
          <w:szCs w:val="28"/>
          <w:lang w:val="el-GR"/>
        </w:rPr>
      </w:pPr>
      <w:r w:rsidRPr="00F27787">
        <w:rPr>
          <w:rFonts w:ascii="Bookman Old Style" w:hAnsi="Bookman Old Style"/>
          <w:sz w:val="28"/>
          <w:szCs w:val="28"/>
          <w:lang w:val="el-GR"/>
        </w:rPr>
        <w:t>[ΕΦΡΑΙΜ, Δ/στής]</w:t>
      </w:r>
    </w:p>
    <w:p w14:paraId="14BE1432" w14:textId="77777777" w:rsidR="00842224" w:rsidRPr="00F27787" w:rsidRDefault="00842224" w:rsidP="00842224">
      <w:pPr>
        <w:spacing w:before="40" w:line="276" w:lineRule="auto"/>
        <w:jc w:val="both"/>
        <w:textAlignment w:val="baseline"/>
        <w:rPr>
          <w:rFonts w:ascii="Bookman Old Style" w:eastAsia="Arial" w:hAnsi="Bookman Old Style"/>
          <w:color w:val="000000"/>
          <w:sz w:val="28"/>
          <w:szCs w:val="28"/>
          <w:lang w:val="el-GR"/>
        </w:rPr>
      </w:pPr>
    </w:p>
    <w:p w14:paraId="5B199050" w14:textId="77777777" w:rsidR="00842224" w:rsidRPr="00F27787" w:rsidRDefault="00842224" w:rsidP="00101C29">
      <w:pPr>
        <w:spacing w:after="240" w:line="240" w:lineRule="auto"/>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ΚΑΙ 30 ΤΟΥ ΣΥΝΤΑΓΜΑΤΟΣ ΚΑΙ ΤΑ ΑΡΘΡΑ 3 ΚΑΙ 9 ΤΟΥ ΠΕΡΙ ΑΠΟΝΟΜΗΣ ΤΗΣ ΔΙΚΑΙΟΣΥΝΗΣ (ΠΟΙΚΙΛΑΙ ΔΙΑΤΑΞΕΙΣ) ΝΟΜΟΥ ΤΟΥ 1964</w:t>
      </w:r>
    </w:p>
    <w:p w14:paraId="7EC23835" w14:textId="77777777" w:rsidR="00842224" w:rsidRPr="00F27787" w:rsidRDefault="00842224" w:rsidP="00842224">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7BF33FB6" w14:textId="343B69EA" w:rsidR="00842224" w:rsidRPr="00F27787" w:rsidRDefault="00842224" w:rsidP="00842224">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w:t>
      </w:r>
      <w:r w:rsidR="003B7DA1">
        <w:rPr>
          <w:rFonts w:ascii="Bookman Old Style" w:eastAsia="Arial" w:hAnsi="Bookman Old Style"/>
          <w:color w:val="000000"/>
          <w:sz w:val="28"/>
          <w:szCs w:val="28"/>
          <w:lang w:val="el-GR"/>
        </w:rPr>
        <w:t xml:space="preserve"> ΤΟΥ</w:t>
      </w:r>
      <w:r w:rsidRPr="00F27787">
        <w:rPr>
          <w:rFonts w:ascii="Bookman Old Style" w:eastAsia="Arial" w:hAnsi="Bookman Old Style"/>
          <w:color w:val="000000"/>
          <w:sz w:val="28"/>
          <w:szCs w:val="28"/>
          <w:lang w:val="el-GR"/>
        </w:rPr>
        <w:t xml:space="preserve"> 2018</w:t>
      </w:r>
    </w:p>
    <w:p w14:paraId="3DE03010" w14:textId="77777777" w:rsidR="00842224" w:rsidRDefault="00842224" w:rsidP="00842224">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45901ED4" w14:textId="77777777" w:rsidR="00842224" w:rsidRPr="00F27787" w:rsidRDefault="00842224" w:rsidP="00842224">
      <w:pPr>
        <w:spacing w:line="240" w:lineRule="auto"/>
        <w:jc w:val="center"/>
        <w:textAlignment w:val="baseline"/>
        <w:rPr>
          <w:rFonts w:ascii="Bookman Old Style" w:eastAsia="Arial" w:hAnsi="Bookman Old Style"/>
          <w:color w:val="000000"/>
          <w:sz w:val="28"/>
          <w:szCs w:val="28"/>
          <w:lang w:val="el-GR"/>
        </w:rPr>
      </w:pPr>
    </w:p>
    <w:p w14:paraId="5B8C1B2C" w14:textId="5888BD79" w:rsidR="00842224" w:rsidRPr="00AB1D27" w:rsidRDefault="00842224" w:rsidP="00AB1D27">
      <w:pPr>
        <w:pStyle w:val="Style1"/>
        <w:widowControl/>
        <w:spacing w:before="34" w:line="240" w:lineRule="auto"/>
        <w:rPr>
          <w:rStyle w:val="FontStyle11"/>
          <w:rFonts w:ascii="Bookman Old Style" w:hAnsi="Bookman Old Style" w:cs="Times New Roman"/>
          <w:b w:val="0"/>
          <w:bCs w:val="0"/>
          <w:sz w:val="28"/>
          <w:szCs w:val="28"/>
        </w:rPr>
      </w:pPr>
      <w:r w:rsidRPr="00AB1D27">
        <w:rPr>
          <w:rStyle w:val="FontStyle11"/>
          <w:rFonts w:ascii="Bookman Old Style" w:hAnsi="Bookman Old Style" w:cs="Times New Roman"/>
          <w:b w:val="0"/>
          <w:bCs w:val="0"/>
          <w:sz w:val="28"/>
          <w:szCs w:val="28"/>
        </w:rPr>
        <w:t xml:space="preserve">ΑΝΑΦΟΡΙΚΑ ΜΕ ΤΗΝ ΑΙΤΗΣΗ ΤΩΝ 1. ΑΝΔΡΕΑΣ ΔΗΜΗΤΡΙΑΔΗΣ &amp; ΣΙΑ Δ.Ε.Π.Ε., </w:t>
      </w:r>
      <w:r w:rsidR="00AB1D27" w:rsidRPr="00AB1D27">
        <w:rPr>
          <w:rStyle w:val="FontStyle11"/>
          <w:rFonts w:ascii="Bookman Old Style" w:hAnsi="Bookman Old Style" w:cs="Times New Roman"/>
          <w:b w:val="0"/>
          <w:bCs w:val="0"/>
          <w:sz w:val="28"/>
          <w:szCs w:val="28"/>
        </w:rPr>
        <w:t>2. ΔΗΜΗΤΡΙΑΔΗ, 3. ΔΗΜΗΤΡΙΑΔΗ, 4. ΣΥΜΙΛΛΙΔΗ, 5. ΙΩΑΝΝΟΥ, 6. ΜΙΧΑΗΛ</w:t>
      </w:r>
      <w:r w:rsidRPr="00AB1D27">
        <w:rPr>
          <w:rStyle w:val="FontStyle11"/>
          <w:rFonts w:ascii="Bookman Old Style" w:hAnsi="Bookman Old Style" w:cs="Times New Roman"/>
          <w:b w:val="0"/>
          <w:bCs w:val="0"/>
          <w:iCs/>
          <w:sz w:val="28"/>
          <w:szCs w:val="28"/>
        </w:rPr>
        <w:t xml:space="preserve"> ΚΑΙ 7</w:t>
      </w:r>
      <w:r w:rsidR="00AB1D27" w:rsidRPr="00AB1D27">
        <w:rPr>
          <w:rStyle w:val="FontStyle11"/>
          <w:rFonts w:ascii="Bookman Old Style" w:hAnsi="Bookman Old Style" w:cs="Times New Roman"/>
          <w:b w:val="0"/>
          <w:bCs w:val="0"/>
          <w:iCs/>
          <w:sz w:val="28"/>
          <w:szCs w:val="28"/>
        </w:rPr>
        <w:t>.</w:t>
      </w:r>
      <w:r w:rsidRPr="00AB1D27">
        <w:rPr>
          <w:rStyle w:val="FontStyle11"/>
          <w:rFonts w:ascii="Bookman Old Style" w:hAnsi="Bookman Old Style" w:cs="Times New Roman"/>
          <w:b w:val="0"/>
          <w:bCs w:val="0"/>
          <w:iCs/>
          <w:sz w:val="28"/>
          <w:szCs w:val="28"/>
        </w:rPr>
        <w:t xml:space="preserve"> ΣΑΝΤΙΝ,  ΓΙΑ </w:t>
      </w:r>
      <w:r w:rsidRPr="00AB1D27">
        <w:rPr>
          <w:rStyle w:val="FontStyle11"/>
          <w:rFonts w:ascii="Bookman Old Style" w:hAnsi="Bookman Old Style" w:cs="Times New Roman"/>
          <w:b w:val="0"/>
          <w:bCs w:val="0"/>
          <w:sz w:val="28"/>
          <w:szCs w:val="28"/>
        </w:rPr>
        <w:t xml:space="preserve">ΑΔΕΙΑ ΓΙΑ ΤΗΝ ΚΑΤΑΧΩΡΗΣΗ ΑΙΤΗΣΗΣ ΓΙΑ ΤΗΝ ΕΚΔΟΣΗ ΕΝΤΑΛΜΑΤΟΣ </w:t>
      </w:r>
      <w:r w:rsidRPr="00AB1D27">
        <w:rPr>
          <w:rStyle w:val="FontStyle11"/>
          <w:rFonts w:ascii="Bookman Old Style" w:hAnsi="Bookman Old Style" w:cs="Times New Roman"/>
          <w:b w:val="0"/>
          <w:bCs w:val="0"/>
          <w:sz w:val="28"/>
          <w:szCs w:val="28"/>
          <w:lang w:val="en-US"/>
        </w:rPr>
        <w:t>CERTIORARI</w:t>
      </w:r>
      <w:r w:rsidRPr="00AB1D27">
        <w:rPr>
          <w:rStyle w:val="FontStyle11"/>
          <w:rFonts w:ascii="Bookman Old Style" w:hAnsi="Bookman Old Style" w:cs="Times New Roman"/>
          <w:b w:val="0"/>
          <w:bCs w:val="0"/>
          <w:sz w:val="28"/>
          <w:szCs w:val="28"/>
        </w:rPr>
        <w:t xml:space="preserve"> </w:t>
      </w:r>
    </w:p>
    <w:p w14:paraId="28FB4A31" w14:textId="77777777" w:rsidR="00842224" w:rsidRPr="00842224" w:rsidRDefault="00842224" w:rsidP="00842224">
      <w:pPr>
        <w:pStyle w:val="Style3"/>
        <w:widowControl/>
        <w:spacing w:line="276" w:lineRule="auto"/>
        <w:ind w:left="4819"/>
        <w:jc w:val="both"/>
        <w:rPr>
          <w:rFonts w:ascii="Bookman Old Style" w:hAnsi="Bookman Old Style" w:cs="Times New Roman"/>
          <w:sz w:val="28"/>
          <w:szCs w:val="28"/>
        </w:rPr>
      </w:pPr>
    </w:p>
    <w:p w14:paraId="4B5A0028" w14:textId="77777777" w:rsidR="00842224" w:rsidRPr="00842224" w:rsidRDefault="00842224" w:rsidP="0037564B">
      <w:pPr>
        <w:pStyle w:val="Style3"/>
        <w:widowControl/>
        <w:spacing w:before="29" w:line="276" w:lineRule="auto"/>
        <w:jc w:val="center"/>
        <w:rPr>
          <w:rStyle w:val="FontStyle11"/>
          <w:rFonts w:ascii="Bookman Old Style" w:hAnsi="Bookman Old Style" w:cs="Times New Roman"/>
          <w:b w:val="0"/>
          <w:bCs w:val="0"/>
          <w:sz w:val="28"/>
          <w:szCs w:val="28"/>
        </w:rPr>
      </w:pPr>
      <w:r w:rsidRPr="00842224">
        <w:rPr>
          <w:rStyle w:val="FontStyle11"/>
          <w:rFonts w:ascii="Bookman Old Style" w:hAnsi="Bookman Old Style" w:cs="Times New Roman"/>
          <w:b w:val="0"/>
          <w:bCs w:val="0"/>
          <w:sz w:val="28"/>
          <w:szCs w:val="28"/>
        </w:rPr>
        <w:t>ΚΑΙ</w:t>
      </w:r>
    </w:p>
    <w:p w14:paraId="56C4EDE0" w14:textId="77777777" w:rsidR="00842224" w:rsidRPr="00842224" w:rsidRDefault="00842224" w:rsidP="00842224">
      <w:pPr>
        <w:pStyle w:val="Style1"/>
        <w:widowControl/>
        <w:spacing w:line="276" w:lineRule="auto"/>
        <w:rPr>
          <w:rFonts w:ascii="Bookman Old Style" w:hAnsi="Bookman Old Style" w:cs="Times New Roman"/>
          <w:sz w:val="28"/>
          <w:szCs w:val="28"/>
        </w:rPr>
      </w:pPr>
    </w:p>
    <w:p w14:paraId="5BE68111" w14:textId="2DDB653F" w:rsidR="00842224" w:rsidRPr="00842224" w:rsidRDefault="00842224" w:rsidP="00AB1D27">
      <w:pPr>
        <w:pStyle w:val="Style1"/>
        <w:widowControl/>
        <w:spacing w:before="24" w:line="240" w:lineRule="auto"/>
        <w:rPr>
          <w:rStyle w:val="FontStyle11"/>
          <w:rFonts w:ascii="Bookman Old Style" w:hAnsi="Bookman Old Style" w:cs="Times New Roman"/>
          <w:b w:val="0"/>
          <w:bCs w:val="0"/>
          <w:sz w:val="28"/>
          <w:szCs w:val="28"/>
        </w:rPr>
      </w:pPr>
      <w:r w:rsidRPr="00842224">
        <w:rPr>
          <w:rStyle w:val="FontStyle11"/>
          <w:rFonts w:ascii="Bookman Old Style" w:hAnsi="Bookman Old Style" w:cs="Times New Roman"/>
          <w:b w:val="0"/>
          <w:bCs w:val="0"/>
          <w:sz w:val="28"/>
          <w:szCs w:val="28"/>
        </w:rPr>
        <w:t>ΑΝΑΦΟΡΙΚΑ ΜΕ ΤΟ ΔΙΑΤΑΓΜΑ ΠΡΟΣΒΑΣΗΣ ΣΤΟ ΠΕΡΙΕΧΟΜΕΝΟ ΕΠΙΚΟΙΝΩΝΙΑΣ ΤΟΥ ΕΠΑΡΧΙΑΚΟΥ ΔΙΚΑΣΤΗΡΙΟΥ ΛΕΥΚΩΣΙΑΣ, ΗΜΕΡΟΜΗΝΙΑΣ 28/07/202</w:t>
      </w:r>
      <w:r w:rsidR="00465D5B">
        <w:rPr>
          <w:rStyle w:val="FontStyle11"/>
          <w:rFonts w:ascii="Bookman Old Style" w:hAnsi="Bookman Old Style" w:cs="Times New Roman"/>
          <w:b w:val="0"/>
          <w:bCs w:val="0"/>
          <w:sz w:val="28"/>
          <w:szCs w:val="28"/>
        </w:rPr>
        <w:t>3</w:t>
      </w:r>
      <w:r w:rsidRPr="00842224">
        <w:rPr>
          <w:rStyle w:val="FontStyle11"/>
          <w:rFonts w:ascii="Bookman Old Style" w:hAnsi="Bookman Old Style" w:cs="Times New Roman"/>
          <w:b w:val="0"/>
          <w:bCs w:val="0"/>
          <w:sz w:val="28"/>
          <w:szCs w:val="28"/>
        </w:rPr>
        <w:t xml:space="preserve"> (ΑΙΤΗΣΗ ΑΡ. 283/2023).</w:t>
      </w:r>
    </w:p>
    <w:p w14:paraId="34F24916" w14:textId="77777777" w:rsidR="00842224" w:rsidRPr="00842224" w:rsidRDefault="00842224" w:rsidP="00842224">
      <w:pPr>
        <w:framePr w:h="700" w:hSpace="38" w:wrap="notBeside" w:vAnchor="text" w:hAnchor="text" w:x="2598" w:y="1767"/>
        <w:spacing w:line="276" w:lineRule="auto"/>
        <w:rPr>
          <w:rFonts w:ascii="Bookman Old Style" w:hAnsi="Bookman Old Style" w:cs="Times New Roman"/>
          <w:sz w:val="28"/>
          <w:szCs w:val="28"/>
          <w:lang w:val="el-GR"/>
        </w:rPr>
      </w:pPr>
    </w:p>
    <w:p w14:paraId="00FADB8E" w14:textId="77777777" w:rsidR="00101C29" w:rsidRPr="00842224" w:rsidRDefault="00101C29" w:rsidP="00101C29">
      <w:pPr>
        <w:pStyle w:val="Style1"/>
        <w:widowControl/>
        <w:spacing w:line="276" w:lineRule="auto"/>
        <w:jc w:val="center"/>
        <w:rPr>
          <w:rFonts w:ascii="Bookman Old Style" w:hAnsi="Bookman Old Style" w:cs="Times New Roman"/>
          <w:sz w:val="28"/>
          <w:szCs w:val="28"/>
        </w:rPr>
      </w:pPr>
    </w:p>
    <w:p w14:paraId="05B8284D" w14:textId="77777777" w:rsidR="00AB1D27" w:rsidRDefault="00101C29" w:rsidP="00101C29">
      <w:pPr>
        <w:pStyle w:val="Style1"/>
        <w:widowControl/>
        <w:tabs>
          <w:tab w:val="left" w:pos="567"/>
        </w:tabs>
        <w:spacing w:line="276" w:lineRule="auto"/>
        <w:jc w:val="left"/>
        <w:rPr>
          <w:rFonts w:ascii="Bookman Old Style" w:hAnsi="Bookman Old Style" w:cs="Times New Roman"/>
          <w:i/>
          <w:sz w:val="28"/>
          <w:szCs w:val="28"/>
        </w:rPr>
      </w:pPr>
      <w:r>
        <w:rPr>
          <w:rFonts w:ascii="Bookman Old Style" w:hAnsi="Bookman Old Style" w:cs="Times New Roman"/>
          <w:i/>
          <w:sz w:val="28"/>
          <w:szCs w:val="28"/>
        </w:rPr>
        <w:tab/>
      </w:r>
    </w:p>
    <w:p w14:paraId="1AB50B1B" w14:textId="2841F747" w:rsidR="00842224" w:rsidRPr="00842224" w:rsidRDefault="00842224" w:rsidP="00AB1D27">
      <w:pPr>
        <w:pStyle w:val="Style1"/>
        <w:widowControl/>
        <w:tabs>
          <w:tab w:val="left" w:pos="567"/>
        </w:tabs>
        <w:spacing w:line="276" w:lineRule="auto"/>
        <w:ind w:left="567"/>
        <w:jc w:val="left"/>
        <w:rPr>
          <w:rFonts w:ascii="Bookman Old Style" w:hAnsi="Bookman Old Style" w:cs="Times New Roman"/>
          <w:i/>
          <w:sz w:val="28"/>
          <w:szCs w:val="28"/>
        </w:rPr>
      </w:pPr>
      <w:r w:rsidRPr="00842224">
        <w:rPr>
          <w:rFonts w:ascii="Bookman Old Style" w:hAnsi="Bookman Old Style" w:cs="Times New Roman"/>
          <w:i/>
          <w:sz w:val="28"/>
          <w:szCs w:val="28"/>
        </w:rPr>
        <w:lastRenderedPageBreak/>
        <w:t>Ηλ. Στεφάνου, για Ηλίας Α. Στεφάνου ΔΕΠΕ, για τους Αιτητές.</w:t>
      </w:r>
    </w:p>
    <w:p w14:paraId="43EE1B21" w14:textId="2AE9B96B" w:rsidR="00842224" w:rsidRPr="00842224" w:rsidRDefault="00842224" w:rsidP="00101C29">
      <w:pPr>
        <w:pStyle w:val="Style1"/>
        <w:widowControl/>
        <w:spacing w:line="276" w:lineRule="auto"/>
        <w:jc w:val="left"/>
        <w:rPr>
          <w:rFonts w:ascii="Bookman Old Style" w:hAnsi="Bookman Old Style"/>
          <w:sz w:val="20"/>
          <w:szCs w:val="20"/>
        </w:rPr>
      </w:pPr>
      <w:r w:rsidRPr="00842224">
        <w:rPr>
          <w:rFonts w:ascii="Bookman Old Style" w:hAnsi="Bookman Old Style" w:cs="Times New Roman"/>
          <w:i/>
          <w:sz w:val="28"/>
          <w:szCs w:val="28"/>
        </w:rPr>
        <w:t xml:space="preserve"> </w:t>
      </w:r>
    </w:p>
    <w:p w14:paraId="7215ED37" w14:textId="77777777" w:rsidR="00AB1D27" w:rsidRDefault="00AB1D27" w:rsidP="00842224">
      <w:pPr>
        <w:spacing w:line="360" w:lineRule="auto"/>
        <w:jc w:val="center"/>
        <w:rPr>
          <w:rFonts w:ascii="Bookman Old Style" w:eastAsia="Times New Roman" w:hAnsi="Bookman Old Style"/>
          <w:b/>
          <w:bCs/>
          <w:color w:val="000000"/>
          <w:sz w:val="28"/>
          <w:szCs w:val="28"/>
          <w:u w:val="single"/>
          <w:lang w:val="el-GR"/>
        </w:rPr>
      </w:pPr>
    </w:p>
    <w:p w14:paraId="43AB6A5E" w14:textId="2981C2AB" w:rsidR="00842224" w:rsidRDefault="00842224" w:rsidP="00842224">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221C67B9" w14:textId="77777777" w:rsidR="00842224" w:rsidRPr="0083722D" w:rsidRDefault="00842224" w:rsidP="00842224">
      <w:pPr>
        <w:spacing w:after="0" w:line="240" w:lineRule="auto"/>
        <w:jc w:val="center"/>
        <w:rPr>
          <w:rFonts w:ascii="Bookman Old Style" w:eastAsia="Times New Roman" w:hAnsi="Bookman Old Style"/>
          <w:b/>
          <w:bCs/>
          <w:color w:val="000000"/>
          <w:sz w:val="28"/>
          <w:szCs w:val="28"/>
          <w:u w:val="single"/>
          <w:lang w:val="el-GR"/>
        </w:rPr>
      </w:pPr>
    </w:p>
    <w:p w14:paraId="3898B923" w14:textId="36C3FA4D" w:rsidR="004F1C86" w:rsidRDefault="00842224" w:rsidP="00101C29">
      <w:pPr>
        <w:tabs>
          <w:tab w:val="left" w:pos="567"/>
        </w:tabs>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3162A">
        <w:rPr>
          <w:rFonts w:ascii="Bookman Old Style" w:hAnsi="Bookman Old Style"/>
          <w:sz w:val="28"/>
          <w:szCs w:val="28"/>
          <w:lang w:val="el-GR"/>
        </w:rPr>
        <w:t xml:space="preserve">Με την παρούσα </w:t>
      </w:r>
      <w:r w:rsidR="007B3F02">
        <w:rPr>
          <w:rFonts w:ascii="Bookman Old Style" w:hAnsi="Bookman Old Style"/>
          <w:sz w:val="28"/>
          <w:szCs w:val="28"/>
          <w:lang w:val="el-GR"/>
        </w:rPr>
        <w:t>Α</w:t>
      </w:r>
      <w:r w:rsidR="0053162A">
        <w:rPr>
          <w:rFonts w:ascii="Bookman Old Style" w:hAnsi="Bookman Old Style"/>
          <w:sz w:val="28"/>
          <w:szCs w:val="28"/>
          <w:lang w:val="el-GR"/>
        </w:rPr>
        <w:t xml:space="preserve">ίτηση οι Αιτητές ζητούν άδεια για την καταχώριση αίτησης για την έκδοση προνομιακού εντάλματος </w:t>
      </w:r>
      <w:r w:rsidR="0053162A">
        <w:rPr>
          <w:rFonts w:ascii="Bookman Old Style" w:hAnsi="Bookman Old Style"/>
          <w:sz w:val="28"/>
          <w:szCs w:val="28"/>
        </w:rPr>
        <w:t>Certiorari</w:t>
      </w:r>
      <w:r w:rsidR="0053162A" w:rsidRPr="0053162A">
        <w:rPr>
          <w:rFonts w:ascii="Bookman Old Style" w:hAnsi="Bookman Old Style"/>
          <w:sz w:val="28"/>
          <w:szCs w:val="28"/>
          <w:lang w:val="el-GR"/>
        </w:rPr>
        <w:t xml:space="preserve"> </w:t>
      </w:r>
      <w:r w:rsidR="0053162A">
        <w:rPr>
          <w:rFonts w:ascii="Bookman Old Style" w:hAnsi="Bookman Old Style"/>
          <w:sz w:val="28"/>
          <w:szCs w:val="28"/>
          <w:lang w:val="el-GR"/>
        </w:rPr>
        <w:t xml:space="preserve">αναφορικά με το διάταγμα πρόσβασης στο περιεχόμενο επικοινωνίας ημερ. 28.7.2023 το οποίο εκδόθηκε από το Επαρχιακό Δικαστήριο Λευκωσίας. </w:t>
      </w:r>
    </w:p>
    <w:p w14:paraId="1EEF270F" w14:textId="19BD9307" w:rsidR="00B02064" w:rsidRPr="004678DE" w:rsidRDefault="0053162A" w:rsidP="00101C29">
      <w:pPr>
        <w:spacing w:before="240" w:line="480" w:lineRule="auto"/>
        <w:ind w:firstLine="567"/>
        <w:jc w:val="both"/>
        <w:rPr>
          <w:rFonts w:ascii="Bookman Old Style" w:hAnsi="Bookman Old Style"/>
          <w:sz w:val="28"/>
          <w:szCs w:val="28"/>
        </w:rPr>
      </w:pPr>
      <w:r>
        <w:rPr>
          <w:rFonts w:ascii="Bookman Old Style" w:hAnsi="Bookman Old Style"/>
          <w:sz w:val="28"/>
          <w:szCs w:val="28"/>
          <w:lang w:val="el-GR"/>
        </w:rPr>
        <w:t>Οι λόγοι επί των οποίων βασίζεται η Αίτηση είναι ότι υπάρχει νομικό σφάλμα στο πρακτικό του Δικαστηρίου και ότι το διάταγμα παραβιάζει τον Νόμο</w:t>
      </w:r>
      <w:r w:rsidR="007B3F02">
        <w:rPr>
          <w:rFonts w:ascii="Bookman Old Style" w:hAnsi="Bookman Old Style"/>
          <w:sz w:val="28"/>
          <w:szCs w:val="28"/>
          <w:lang w:val="el-GR"/>
        </w:rPr>
        <w:t xml:space="preserve">, </w:t>
      </w:r>
      <w:r>
        <w:rPr>
          <w:rFonts w:ascii="Bookman Old Style" w:hAnsi="Bookman Old Style"/>
          <w:sz w:val="28"/>
          <w:szCs w:val="28"/>
          <w:lang w:val="el-GR"/>
        </w:rPr>
        <w:t xml:space="preserve">το Σύνταγμα και την αρχή της αναλογικότητας. </w:t>
      </w:r>
      <w:r w:rsidR="009E058C">
        <w:rPr>
          <w:rFonts w:ascii="Bookman Old Style" w:hAnsi="Bookman Old Style"/>
          <w:sz w:val="28"/>
          <w:szCs w:val="28"/>
          <w:lang w:val="el-GR"/>
        </w:rPr>
        <w:t>Ειδικότερα αποδίδ</w:t>
      </w:r>
      <w:r w:rsidR="00B02064">
        <w:rPr>
          <w:rFonts w:ascii="Bookman Old Style" w:hAnsi="Bookman Old Style"/>
          <w:sz w:val="28"/>
          <w:szCs w:val="28"/>
          <w:lang w:val="el-GR"/>
        </w:rPr>
        <w:t>ον</w:t>
      </w:r>
      <w:r w:rsidR="009E058C">
        <w:rPr>
          <w:rFonts w:ascii="Bookman Old Style" w:hAnsi="Bookman Old Style"/>
          <w:sz w:val="28"/>
          <w:szCs w:val="28"/>
          <w:lang w:val="el-GR"/>
        </w:rPr>
        <w:t xml:space="preserve">ται στο κατώτερο Δικαστήριο </w:t>
      </w:r>
      <w:r w:rsidR="004678DE">
        <w:rPr>
          <w:rFonts w:ascii="Bookman Old Style" w:hAnsi="Bookman Old Style"/>
          <w:sz w:val="28"/>
          <w:szCs w:val="28"/>
          <w:lang w:val="el-GR"/>
        </w:rPr>
        <w:t>τα ακόλουθα</w:t>
      </w:r>
      <w:r w:rsidR="004678DE">
        <w:rPr>
          <w:rFonts w:ascii="Bookman Old Style" w:hAnsi="Bookman Old Style"/>
          <w:sz w:val="28"/>
          <w:szCs w:val="28"/>
        </w:rPr>
        <w:t>:</w:t>
      </w:r>
    </w:p>
    <w:p w14:paraId="44920B2E" w14:textId="568925BB" w:rsidR="00B02064" w:rsidRDefault="00537368" w:rsidP="00101C29">
      <w:pPr>
        <w:pStyle w:val="ListParagraph"/>
        <w:numPr>
          <w:ilvl w:val="0"/>
          <w:numId w:val="3"/>
        </w:numPr>
        <w:spacing w:line="360" w:lineRule="auto"/>
        <w:ind w:left="993" w:hanging="426"/>
        <w:jc w:val="both"/>
        <w:rPr>
          <w:rFonts w:ascii="Bookman Old Style" w:hAnsi="Bookman Old Style"/>
          <w:sz w:val="28"/>
          <w:szCs w:val="28"/>
          <w:lang w:val="el-GR"/>
        </w:rPr>
      </w:pPr>
      <w:r>
        <w:rPr>
          <w:rFonts w:ascii="Bookman Old Style" w:hAnsi="Bookman Old Style"/>
          <w:sz w:val="28"/>
          <w:szCs w:val="28"/>
          <w:lang w:val="el-GR"/>
        </w:rPr>
        <w:t>Λ</w:t>
      </w:r>
      <w:r w:rsidR="009E058C" w:rsidRPr="00B02064">
        <w:rPr>
          <w:rFonts w:ascii="Bookman Old Style" w:hAnsi="Bookman Old Style"/>
          <w:sz w:val="28"/>
          <w:szCs w:val="28"/>
          <w:lang w:val="el-GR"/>
        </w:rPr>
        <w:t>ανθασμένα εξέδωσε το διάταγμα για τη χρονική περίοδο μεταξύ των ετών 2011- 2021</w:t>
      </w:r>
      <w:r>
        <w:rPr>
          <w:rFonts w:ascii="Bookman Old Style" w:hAnsi="Bookman Old Style"/>
          <w:sz w:val="28"/>
          <w:szCs w:val="28"/>
          <w:lang w:val="el-GR"/>
        </w:rPr>
        <w:t>,</w:t>
      </w:r>
      <w:r w:rsidR="009E058C" w:rsidRPr="00B02064">
        <w:rPr>
          <w:rFonts w:ascii="Bookman Old Style" w:hAnsi="Bookman Old Style"/>
          <w:sz w:val="28"/>
          <w:szCs w:val="28"/>
          <w:lang w:val="el-GR"/>
        </w:rPr>
        <w:t xml:space="preserve"> καθότι δεν επιτρεπόταν η πρόσβαση, επιθεώρηση και λήψη επικοινωνίας μέχρι τη θέσπιση του τροποποιητικού του Ν.92(Ι)1996, Ν.216(Ι)/2015</w:t>
      </w:r>
      <w:r w:rsidR="00C03741">
        <w:rPr>
          <w:rFonts w:ascii="Bookman Old Style" w:hAnsi="Bookman Old Style"/>
          <w:sz w:val="28"/>
          <w:szCs w:val="28"/>
          <w:lang w:val="el-GR"/>
        </w:rPr>
        <w:t>.</w:t>
      </w:r>
    </w:p>
    <w:p w14:paraId="33D47329" w14:textId="77777777" w:rsidR="00AB1D27" w:rsidRDefault="00AB1D27" w:rsidP="00AB1D27">
      <w:pPr>
        <w:pStyle w:val="ListParagraph"/>
        <w:spacing w:after="0" w:line="120" w:lineRule="auto"/>
        <w:ind w:left="992"/>
        <w:jc w:val="both"/>
        <w:rPr>
          <w:rFonts w:ascii="Bookman Old Style" w:hAnsi="Bookman Old Style"/>
          <w:sz w:val="28"/>
          <w:szCs w:val="28"/>
          <w:lang w:val="el-GR"/>
        </w:rPr>
      </w:pPr>
    </w:p>
    <w:p w14:paraId="5447F5C3" w14:textId="6679659A" w:rsidR="00EB37CE" w:rsidRDefault="00537368" w:rsidP="00AB1D27">
      <w:pPr>
        <w:pStyle w:val="ListParagraph"/>
        <w:numPr>
          <w:ilvl w:val="0"/>
          <w:numId w:val="3"/>
        </w:numPr>
        <w:tabs>
          <w:tab w:val="left" w:pos="1134"/>
        </w:tabs>
        <w:spacing w:before="240" w:line="360" w:lineRule="auto"/>
        <w:ind w:hanging="513"/>
        <w:jc w:val="both"/>
        <w:rPr>
          <w:rFonts w:ascii="Bookman Old Style" w:hAnsi="Bookman Old Style"/>
          <w:sz w:val="28"/>
          <w:szCs w:val="28"/>
          <w:lang w:val="el-GR"/>
        </w:rPr>
      </w:pPr>
      <w:r>
        <w:rPr>
          <w:rFonts w:ascii="Bookman Old Style" w:hAnsi="Bookman Old Style"/>
          <w:sz w:val="28"/>
          <w:szCs w:val="28"/>
          <w:lang w:val="el-GR"/>
        </w:rPr>
        <w:t>Λ</w:t>
      </w:r>
      <w:r w:rsidR="00EB37CE">
        <w:rPr>
          <w:rFonts w:ascii="Bookman Old Style" w:hAnsi="Bookman Old Style"/>
          <w:sz w:val="28"/>
          <w:szCs w:val="28"/>
          <w:lang w:val="el-GR"/>
        </w:rPr>
        <w:t>ανθασμένα έλαβε υπόψιν μαρτυρία η οποία αφορούσε ιδιωτική επικοινωνία για την ίδια χρονική περίοδο η οποία είχε ληφθεί δυνάμει άλλων διαταγμάτων πρόσβασης σε ιδιωτική επικοινωνία</w:t>
      </w:r>
      <w:r w:rsidR="00C03741">
        <w:rPr>
          <w:rFonts w:ascii="Bookman Old Style" w:hAnsi="Bookman Old Style"/>
          <w:sz w:val="28"/>
          <w:szCs w:val="28"/>
          <w:lang w:val="el-GR"/>
        </w:rPr>
        <w:t>.</w:t>
      </w:r>
    </w:p>
    <w:p w14:paraId="3456E089" w14:textId="77777777" w:rsidR="00101C29" w:rsidRPr="00101C29" w:rsidRDefault="00101C29" w:rsidP="00101C29">
      <w:pPr>
        <w:tabs>
          <w:tab w:val="left" w:pos="993"/>
        </w:tabs>
        <w:spacing w:after="0" w:line="240" w:lineRule="auto"/>
        <w:jc w:val="both"/>
        <w:rPr>
          <w:rFonts w:ascii="Bookman Old Style" w:hAnsi="Bookman Old Style"/>
          <w:sz w:val="28"/>
          <w:szCs w:val="28"/>
          <w:lang w:val="el-GR"/>
        </w:rPr>
      </w:pPr>
    </w:p>
    <w:p w14:paraId="51675F13" w14:textId="5A3BC0A7" w:rsidR="00B02064" w:rsidRDefault="0041048B" w:rsidP="00101C29">
      <w:pPr>
        <w:pStyle w:val="ListParagraph"/>
        <w:numPr>
          <w:ilvl w:val="0"/>
          <w:numId w:val="3"/>
        </w:numPr>
        <w:spacing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Π</w:t>
      </w:r>
      <w:r w:rsidR="00B02064">
        <w:rPr>
          <w:rFonts w:ascii="Bookman Old Style" w:hAnsi="Bookman Old Style"/>
          <w:sz w:val="28"/>
          <w:szCs w:val="28"/>
          <w:lang w:val="el-GR"/>
        </w:rPr>
        <w:t xml:space="preserve">αρέλειψε </w:t>
      </w:r>
      <w:r w:rsidR="00151558" w:rsidRPr="00B02064">
        <w:rPr>
          <w:rFonts w:ascii="Bookman Old Style" w:hAnsi="Bookman Old Style"/>
          <w:sz w:val="28"/>
          <w:szCs w:val="28"/>
          <w:lang w:val="el-GR"/>
        </w:rPr>
        <w:t>να συσχετίσει τα τεκμήρια με τα υπό διερεύνηση αδικήματα για τα οποία επιτρέπεται η έκδοση του διατάγματο</w:t>
      </w:r>
      <w:r w:rsidR="00B02064">
        <w:rPr>
          <w:rFonts w:ascii="Bookman Old Style" w:hAnsi="Bookman Old Style"/>
          <w:sz w:val="28"/>
          <w:szCs w:val="28"/>
          <w:lang w:val="el-GR"/>
        </w:rPr>
        <w:t>ς</w:t>
      </w:r>
      <w:r w:rsidR="00C03741">
        <w:rPr>
          <w:rFonts w:ascii="Bookman Old Style" w:hAnsi="Bookman Old Style"/>
          <w:sz w:val="28"/>
          <w:szCs w:val="28"/>
          <w:lang w:val="el-GR"/>
        </w:rPr>
        <w:t>.</w:t>
      </w:r>
    </w:p>
    <w:p w14:paraId="155DF91E" w14:textId="77777777" w:rsidR="00101C29" w:rsidRPr="00101C29" w:rsidRDefault="00101C29" w:rsidP="00101C29">
      <w:pPr>
        <w:pStyle w:val="ListParagraph"/>
        <w:rPr>
          <w:rFonts w:ascii="Bookman Old Style" w:hAnsi="Bookman Old Style"/>
          <w:sz w:val="28"/>
          <w:szCs w:val="28"/>
          <w:lang w:val="el-GR"/>
        </w:rPr>
      </w:pPr>
    </w:p>
    <w:p w14:paraId="42D92D0D" w14:textId="415A9C3C" w:rsidR="00B02064" w:rsidRDefault="009E13CB" w:rsidP="00101C29">
      <w:pPr>
        <w:pStyle w:val="ListParagraph"/>
        <w:numPr>
          <w:ilvl w:val="0"/>
          <w:numId w:val="3"/>
        </w:numPr>
        <w:tabs>
          <w:tab w:val="left" w:pos="1170"/>
        </w:tabs>
        <w:spacing w:line="360" w:lineRule="auto"/>
        <w:ind w:hanging="513"/>
        <w:jc w:val="both"/>
        <w:rPr>
          <w:rFonts w:ascii="Bookman Old Style" w:hAnsi="Bookman Old Style"/>
          <w:sz w:val="28"/>
          <w:szCs w:val="28"/>
          <w:lang w:val="el-GR"/>
        </w:rPr>
      </w:pPr>
      <w:r>
        <w:rPr>
          <w:rFonts w:ascii="Bookman Old Style" w:hAnsi="Bookman Old Style"/>
          <w:sz w:val="28"/>
          <w:szCs w:val="28"/>
          <w:lang w:val="el-GR"/>
        </w:rPr>
        <w:t>Ε</w:t>
      </w:r>
      <w:r w:rsidR="005B47CE" w:rsidRPr="00B02064">
        <w:rPr>
          <w:rFonts w:ascii="Bookman Old Style" w:hAnsi="Bookman Old Style"/>
          <w:sz w:val="28"/>
          <w:szCs w:val="28"/>
          <w:lang w:val="el-GR"/>
        </w:rPr>
        <w:t>ξέδωσε το διάταγμα χωρίς να υπήρχε μαρτυρία η οποία δημιουργούσε εύλογη υποψία πως συγκεκριμένη επικοινωνία συνδέεται με αδίκημα διαφθοράς</w:t>
      </w:r>
      <w:r w:rsidR="00C03741">
        <w:rPr>
          <w:rFonts w:ascii="Bookman Old Style" w:hAnsi="Bookman Old Style"/>
          <w:sz w:val="28"/>
          <w:szCs w:val="28"/>
          <w:lang w:val="el-GR"/>
        </w:rPr>
        <w:t>.</w:t>
      </w:r>
    </w:p>
    <w:p w14:paraId="08DB1CAD" w14:textId="77777777" w:rsidR="00101C29" w:rsidRPr="00101C29" w:rsidRDefault="00101C29" w:rsidP="00101C29">
      <w:pPr>
        <w:pStyle w:val="ListParagraph"/>
        <w:rPr>
          <w:rFonts w:ascii="Bookman Old Style" w:hAnsi="Bookman Old Style"/>
          <w:sz w:val="28"/>
          <w:szCs w:val="28"/>
          <w:lang w:val="el-GR"/>
        </w:rPr>
      </w:pPr>
    </w:p>
    <w:p w14:paraId="0900660C" w14:textId="4C289445" w:rsidR="00B02064" w:rsidRDefault="00E641DD" w:rsidP="00101C29">
      <w:pPr>
        <w:pStyle w:val="ListParagraph"/>
        <w:numPr>
          <w:ilvl w:val="0"/>
          <w:numId w:val="3"/>
        </w:numPr>
        <w:tabs>
          <w:tab w:val="left" w:pos="1134"/>
        </w:tabs>
        <w:spacing w:line="276" w:lineRule="auto"/>
        <w:ind w:hanging="513"/>
        <w:jc w:val="both"/>
        <w:rPr>
          <w:rFonts w:ascii="Bookman Old Style" w:hAnsi="Bookman Old Style"/>
          <w:sz w:val="28"/>
          <w:szCs w:val="28"/>
          <w:lang w:val="el-GR"/>
        </w:rPr>
      </w:pPr>
      <w:r>
        <w:rPr>
          <w:rFonts w:ascii="Bookman Old Style" w:hAnsi="Bookman Old Style"/>
          <w:sz w:val="28"/>
          <w:szCs w:val="28"/>
          <w:lang w:val="el-GR"/>
        </w:rPr>
        <w:t>Ε</w:t>
      </w:r>
      <w:r w:rsidR="005B47CE" w:rsidRPr="00B02064">
        <w:rPr>
          <w:rFonts w:ascii="Bookman Old Style" w:hAnsi="Bookman Old Style"/>
          <w:sz w:val="28"/>
          <w:szCs w:val="28"/>
          <w:lang w:val="el-GR"/>
        </w:rPr>
        <w:t>ξέδωσε το διάταγμα παραβιάζοντας το επαγγελματικό απόρρητο</w:t>
      </w:r>
      <w:r w:rsidR="00C03741">
        <w:rPr>
          <w:rFonts w:ascii="Bookman Old Style" w:hAnsi="Bookman Old Style"/>
          <w:sz w:val="28"/>
          <w:szCs w:val="28"/>
          <w:lang w:val="el-GR"/>
        </w:rPr>
        <w:t>.</w:t>
      </w:r>
      <w:r w:rsidR="005B47CE" w:rsidRPr="00B02064">
        <w:rPr>
          <w:rFonts w:ascii="Bookman Old Style" w:hAnsi="Bookman Old Style"/>
          <w:sz w:val="28"/>
          <w:szCs w:val="28"/>
          <w:lang w:val="el-GR"/>
        </w:rPr>
        <w:t xml:space="preserve"> </w:t>
      </w:r>
    </w:p>
    <w:p w14:paraId="412B2A49" w14:textId="77777777" w:rsidR="00101C29" w:rsidRPr="00101C29" w:rsidRDefault="00101C29" w:rsidP="00101C29">
      <w:pPr>
        <w:pStyle w:val="ListParagraph"/>
        <w:rPr>
          <w:rFonts w:ascii="Bookman Old Style" w:hAnsi="Bookman Old Style"/>
          <w:sz w:val="28"/>
          <w:szCs w:val="28"/>
          <w:lang w:val="el-GR"/>
        </w:rPr>
      </w:pPr>
    </w:p>
    <w:p w14:paraId="0455F936" w14:textId="2C66E6D0" w:rsidR="0053162A" w:rsidRDefault="00BA165F" w:rsidP="00101C29">
      <w:pPr>
        <w:pStyle w:val="ListParagraph"/>
        <w:numPr>
          <w:ilvl w:val="0"/>
          <w:numId w:val="3"/>
        </w:numPr>
        <w:tabs>
          <w:tab w:val="left" w:pos="1170"/>
        </w:tabs>
        <w:spacing w:line="480" w:lineRule="auto"/>
        <w:ind w:hanging="513"/>
        <w:jc w:val="both"/>
        <w:rPr>
          <w:rFonts w:ascii="Bookman Old Style" w:hAnsi="Bookman Old Style"/>
          <w:sz w:val="28"/>
          <w:szCs w:val="28"/>
          <w:lang w:val="el-GR"/>
        </w:rPr>
      </w:pPr>
      <w:r>
        <w:rPr>
          <w:rFonts w:ascii="Bookman Old Style" w:hAnsi="Bookman Old Style"/>
          <w:sz w:val="28"/>
          <w:szCs w:val="28"/>
          <w:lang w:val="el-GR"/>
        </w:rPr>
        <w:t>Η</w:t>
      </w:r>
      <w:r w:rsidR="00332899">
        <w:rPr>
          <w:rFonts w:ascii="Bookman Old Style" w:hAnsi="Bookman Old Style"/>
          <w:sz w:val="28"/>
          <w:szCs w:val="28"/>
          <w:lang w:val="el-GR"/>
        </w:rPr>
        <w:t xml:space="preserve"> έκδοση του διατάγματος είναι καταχρηστική</w:t>
      </w:r>
      <w:r w:rsidR="00B02064">
        <w:rPr>
          <w:rFonts w:ascii="Bookman Old Style" w:hAnsi="Bookman Old Style"/>
          <w:sz w:val="28"/>
          <w:szCs w:val="28"/>
          <w:lang w:val="el-GR"/>
        </w:rPr>
        <w:t xml:space="preserve">. </w:t>
      </w:r>
    </w:p>
    <w:p w14:paraId="64A8DC98" w14:textId="77777777" w:rsidR="00101C29" w:rsidRPr="00101C29" w:rsidRDefault="00101C29" w:rsidP="00101C29">
      <w:pPr>
        <w:pStyle w:val="ListParagraph"/>
        <w:spacing w:after="0" w:line="240" w:lineRule="auto"/>
        <w:rPr>
          <w:rFonts w:ascii="Bookman Old Style" w:hAnsi="Bookman Old Style"/>
          <w:sz w:val="28"/>
          <w:szCs w:val="28"/>
          <w:lang w:val="el-GR"/>
        </w:rPr>
      </w:pPr>
    </w:p>
    <w:p w14:paraId="76795FBC" w14:textId="77777777" w:rsidR="003D3C1A" w:rsidRPr="003D3C1A" w:rsidRDefault="003D3C1A" w:rsidP="00101C29">
      <w:pPr>
        <w:spacing w:after="100" w:afterAutospacing="1" w:line="480" w:lineRule="auto"/>
        <w:ind w:firstLine="567"/>
        <w:jc w:val="both"/>
        <w:rPr>
          <w:rFonts w:ascii="Bookman Old Style" w:hAnsi="Bookman Old Style"/>
          <w:sz w:val="28"/>
          <w:szCs w:val="28"/>
          <w:lang w:val="el-GR"/>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Η υπόθεση </w:t>
      </w:r>
      <w:r w:rsidRPr="003D3C1A">
        <w:rPr>
          <w:rFonts w:ascii="Bookman Old Style" w:hAnsi="Bookman Old Style"/>
          <w:b/>
          <w:bCs/>
          <w:i/>
          <w:iCs/>
          <w:sz w:val="28"/>
          <w:szCs w:val="28"/>
          <w:lang w:val="el-GR"/>
        </w:rPr>
        <w:t xml:space="preserve">Αναφορικά με την Αίτηση του Πέτρου Ευδόκα (2016) 1(Γ) Α.Α.Δ. 3018 </w:t>
      </w:r>
      <w:r w:rsidRPr="003D3C1A">
        <w:rPr>
          <w:rFonts w:ascii="Bookman Old Style" w:hAnsi="Bookman Old Style"/>
          <w:sz w:val="28"/>
          <w:szCs w:val="28"/>
          <w:lang w:val="el-GR"/>
        </w:rPr>
        <w:t>περιέχει το ακόλουθο διαφωτιστικό απόσπασμα:</w:t>
      </w:r>
    </w:p>
    <w:p w14:paraId="295A9427" w14:textId="48721983" w:rsidR="003D3C1A" w:rsidRPr="002A3BF6" w:rsidRDefault="003D3C1A" w:rsidP="00101C29">
      <w:pPr>
        <w:pStyle w:val="apapaoi"/>
        <w:tabs>
          <w:tab w:val="left" w:pos="567"/>
        </w:tabs>
        <w:spacing w:before="0" w:beforeAutospacing="0" w:after="0" w:afterAutospacing="0"/>
        <w:ind w:left="567"/>
        <w:jc w:val="both"/>
        <w:rPr>
          <w:rFonts w:ascii="Bookman Old Style" w:hAnsi="Bookman Old Style"/>
          <w:i/>
          <w:iCs/>
          <w:color w:val="010000"/>
          <w:sz w:val="28"/>
          <w:szCs w:val="28"/>
          <w:lang w:val="el-GR"/>
        </w:rPr>
      </w:pPr>
      <w:r w:rsidRPr="001B17E3">
        <w:rPr>
          <w:rFonts w:ascii="Bookman Old Style" w:hAnsi="Bookman Old Style"/>
          <w:sz w:val="28"/>
          <w:szCs w:val="28"/>
          <w:lang w:val="el-GR"/>
        </w:rPr>
        <w:t>«</w:t>
      </w:r>
      <w:r w:rsidRPr="002A3BF6">
        <w:rPr>
          <w:rFonts w:ascii="Bookman Old Style" w:hAnsi="Bookman Old Style"/>
          <w:i/>
          <w:iCs/>
          <w:spacing w:val="-3"/>
          <w:sz w:val="28"/>
          <w:szCs w:val="28"/>
          <w:lang w:val="el-GR"/>
        </w:rPr>
        <w:t>Όπως επιτάσσει η νομολογία, για την παραχώρηση άδειας για την έκδοση προνομιακού εντάλματος</w:t>
      </w:r>
      <w:r w:rsidR="00101C29">
        <w:rPr>
          <w:rFonts w:ascii="Bookman Old Style" w:hAnsi="Bookman Old Style"/>
          <w:i/>
          <w:iCs/>
          <w:spacing w:val="-3"/>
          <w:sz w:val="28"/>
          <w:szCs w:val="28"/>
          <w:lang w:val="el-GR"/>
        </w:rPr>
        <w:t xml:space="preserve"> </w:t>
      </w:r>
      <w:r w:rsidRPr="00E7678F">
        <w:rPr>
          <w:rFonts w:ascii="Bookman Old Style" w:hAnsi="Bookman Old Style"/>
          <w:i/>
          <w:iCs/>
          <w:spacing w:val="-3"/>
          <w:sz w:val="28"/>
          <w:szCs w:val="28"/>
        </w:rPr>
        <w:t>Certiorari</w:t>
      </w:r>
      <w:r w:rsidRPr="002A3BF6">
        <w:rPr>
          <w:rFonts w:ascii="Bookman Old Style" w:hAnsi="Bookman Old Style"/>
          <w:i/>
          <w:iCs/>
          <w:spacing w:val="-3"/>
          <w:sz w:val="28"/>
          <w:szCs w:val="28"/>
          <w:lang w:val="el-GR"/>
        </w:rPr>
        <w:t>,</w:t>
      </w:r>
      <w:r w:rsidR="00101C29">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w:t>
      </w:r>
      <w:r w:rsidRPr="00E7678F">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του κατώτερου δικαστηρίου. (Βλ.</w:t>
      </w:r>
      <w:r w:rsidR="00101C29">
        <w:rPr>
          <w:rFonts w:ascii="Bookman Old Style" w:hAnsi="Bookman Old Style"/>
          <w:i/>
          <w:iCs/>
          <w:spacing w:val="-3"/>
          <w:sz w:val="28"/>
          <w:szCs w:val="28"/>
          <w:lang w:val="el-GR"/>
        </w:rPr>
        <w:t xml:space="preserve"> </w:t>
      </w:r>
      <w:r w:rsidRPr="001B17E3">
        <w:rPr>
          <w:rFonts w:ascii="Bookman Old Style" w:hAnsi="Bookman Old Style"/>
          <w:b/>
          <w:bCs/>
          <w:i/>
          <w:iCs/>
          <w:spacing w:val="-3"/>
          <w:sz w:val="28"/>
          <w:szCs w:val="28"/>
        </w:rPr>
        <w:t>In</w:t>
      </w:r>
      <w:r w:rsidR="00101C29">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Re</w:t>
      </w:r>
      <w:r w:rsidR="00101C29">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Kakos</w:t>
      </w:r>
      <w:r w:rsidR="00101C29">
        <w:rPr>
          <w:rFonts w:ascii="Bookman Old Style" w:hAnsi="Bookman Old Style"/>
          <w:b/>
          <w:bCs/>
          <w:i/>
          <w:iCs/>
          <w:spacing w:val="-3"/>
          <w:sz w:val="28"/>
          <w:szCs w:val="28"/>
          <w:lang w:val="el-GR"/>
        </w:rPr>
        <w:t xml:space="preserve"> </w:t>
      </w:r>
      <w:r w:rsidRPr="002A3BF6">
        <w:rPr>
          <w:rFonts w:ascii="Bookman Old Style" w:hAnsi="Bookman Old Style"/>
          <w:b/>
          <w:bCs/>
          <w:i/>
          <w:iCs/>
          <w:spacing w:val="-3"/>
          <w:sz w:val="28"/>
          <w:szCs w:val="28"/>
          <w:lang w:val="el-GR"/>
        </w:rPr>
        <w:t>(1985) 1</w:t>
      </w:r>
      <w:r w:rsidR="00101C29">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C</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L</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R</w:t>
      </w:r>
      <w:r w:rsidRPr="002A3BF6">
        <w:rPr>
          <w:rFonts w:ascii="Bookman Old Style" w:hAnsi="Bookman Old Style"/>
          <w:b/>
          <w:bCs/>
          <w:i/>
          <w:iCs/>
          <w:spacing w:val="-3"/>
          <w:sz w:val="28"/>
          <w:szCs w:val="28"/>
          <w:lang w:val="el-GR"/>
        </w:rPr>
        <w:t>. 250</w:t>
      </w:r>
      <w:r w:rsidRPr="002A3BF6">
        <w:rPr>
          <w:rFonts w:ascii="Bookman Old Style" w:hAnsi="Bookman Old Style"/>
          <w:i/>
          <w:iCs/>
          <w:spacing w:val="-3"/>
          <w:sz w:val="28"/>
          <w:szCs w:val="28"/>
          <w:lang w:val="el-GR"/>
        </w:rPr>
        <w:t>).</w:t>
      </w:r>
    </w:p>
    <w:p w14:paraId="12F26287"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77BA9E05"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lastRenderedPageBreak/>
        <w:t>Περαιτέρω, εξετάζοντας την πιθανότητα χορήγησης αδείας θα πρέπει ο αιτητής να τεκμηριώσει, εκ πρώτης όψεως, και αιτιολογήσει τη χορήγηση αδείας. (Βλ.</w:t>
      </w:r>
      <w:r w:rsidRPr="003D3C1A">
        <w:rPr>
          <w:rFonts w:ascii="Bookman Old Style" w:eastAsia="Times New Roman" w:hAnsi="Bookman Old Style" w:cs="Times New Roman"/>
          <w:i/>
          <w:iCs/>
          <w:spacing w:val="-3"/>
          <w:kern w:val="0"/>
          <w:sz w:val="28"/>
          <w:szCs w:val="28"/>
          <w14:ligatures w14:val="none"/>
        </w:rPr>
        <w:t> </w:t>
      </w:r>
      <w:r w:rsidRPr="003D3C1A">
        <w:rPr>
          <w:rFonts w:ascii="Bookman Old Style" w:eastAsia="Times New Roman" w:hAnsi="Bookman Old Style" w:cs="Times New Roman"/>
          <w:b/>
          <w:bCs/>
          <w:i/>
          <w:iCs/>
          <w:spacing w:val="-3"/>
          <w:kern w:val="0"/>
          <w:sz w:val="28"/>
          <w:szCs w:val="28"/>
          <w:lang w:val="el-GR"/>
          <w14:ligatures w14:val="none"/>
        </w:rPr>
        <w:t>Λυσιώτης (1986) 1 Α.Α.Δ. 1696</w:t>
      </w:r>
      <w:r w:rsidRPr="003D3C1A">
        <w:rPr>
          <w:rFonts w:ascii="Bookman Old Style" w:eastAsia="Times New Roman" w:hAnsi="Bookman Old Style" w:cs="Times New Roman"/>
          <w:i/>
          <w:iCs/>
          <w:spacing w:val="-3"/>
          <w:kern w:val="0"/>
          <w:sz w:val="28"/>
          <w:szCs w:val="28"/>
          <w:lang w:val="el-GR"/>
          <w14:ligatures w14:val="none"/>
        </w:rPr>
        <w:t>).</w:t>
      </w:r>
    </w:p>
    <w:p w14:paraId="4D4D22DF"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233FA4FF"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3D3C1A">
        <w:rPr>
          <w:rFonts w:ascii="Bookman Old Style" w:eastAsia="Times New Roman" w:hAnsi="Bookman Old Style" w:cs="Times New Roman"/>
          <w:b/>
          <w:bCs/>
          <w:i/>
          <w:iCs/>
          <w:spacing w:val="-3"/>
          <w:kern w:val="0"/>
          <w:sz w:val="28"/>
          <w:szCs w:val="28"/>
          <w:lang w:val="en-GB"/>
          <w14:ligatures w14:val="none"/>
        </w:rPr>
        <w:t>Global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Consolidator</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Public</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Ltd</w:t>
      </w:r>
      <w:r w:rsidRPr="003D3C1A">
        <w:rPr>
          <w:rFonts w:ascii="Bookman Old Style" w:eastAsia="Times New Roman" w:hAnsi="Bookman Old Style" w:cs="Times New Roman"/>
          <w:b/>
          <w:bCs/>
          <w:i/>
          <w:iCs/>
          <w:spacing w:val="-3"/>
          <w:kern w:val="0"/>
          <w:sz w:val="28"/>
          <w:szCs w:val="28"/>
          <w:lang w:val="el-GR"/>
          <w14:ligatures w14:val="none"/>
        </w:rPr>
        <w:t xml:space="preserve"> (2006) 1 Α.Α.Δ. 464</w:t>
      </w:r>
      <w:r w:rsidRPr="003D3C1A">
        <w:rPr>
          <w:rFonts w:ascii="Bookman Old Style" w:eastAsia="Times New Roman" w:hAnsi="Bookman Old Style" w:cs="Times New Roman"/>
          <w:i/>
          <w:iCs/>
          <w:spacing w:val="-3"/>
          <w:kern w:val="0"/>
          <w:sz w:val="28"/>
          <w:szCs w:val="28"/>
          <w:lang w:val="el-GR"/>
          <w14:ligatures w14:val="none"/>
        </w:rPr>
        <w:t xml:space="preserve">).  </w:t>
      </w:r>
    </w:p>
    <w:p w14:paraId="5BA99843"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14432313" w14:textId="0F92427A"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Στην πρόσφατη υπόθεση,</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Στυλιανού (2015) 1 Α.Α.Δ. 1382</w:t>
      </w:r>
      <w:r w:rsidRPr="003D3C1A">
        <w:rPr>
          <w:rFonts w:ascii="Bookman Old Style" w:eastAsia="Times New Roman" w:hAnsi="Bookman Old Style" w:cs="Times New Roman"/>
          <w:i/>
          <w:iCs/>
          <w:spacing w:val="-3"/>
          <w:kern w:val="0"/>
          <w:sz w:val="28"/>
          <w:szCs w:val="28"/>
          <w:lang w:val="el-GR"/>
          <w14:ligatures w14:val="none"/>
        </w:rPr>
        <w:t>, αναφέρθηκαν τα ακόλουθα:</w:t>
      </w:r>
    </w:p>
    <w:p w14:paraId="6EA5567B" w14:textId="41692D6F"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p>
    <w:p w14:paraId="57F3B0EE" w14:textId="61510C16"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kern w:val="0"/>
          <w:sz w:val="28"/>
          <w:szCs w:val="28"/>
          <w:lang w:val="el-GR"/>
          <w14:ligatures w14:val="none"/>
        </w:rPr>
        <w:t>"</w:t>
      </w:r>
      <w:r w:rsidRPr="003D3C1A">
        <w:rPr>
          <w:rFonts w:ascii="Bookman Old Style" w:eastAsia="Times New Roman" w:hAnsi="Bookman Old Style" w:cs="Times New Roman"/>
          <w:i/>
          <w:iCs/>
          <w:spacing w:val="-3"/>
          <w:kern w:val="0"/>
          <w:sz w:val="28"/>
          <w:szCs w:val="28"/>
          <w:lang w:val="el-GR"/>
          <w14:ligatures w14:val="none"/>
        </w:rPr>
        <w:t>Είχαμε σχετικά πρόσφατα επισημάνει στην</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Πολιτική Έφεση Αρ. 20/2014, Στέλιος Στυλιανίδης, 17.3.2015</w:t>
      </w:r>
      <w:r w:rsidRPr="003D3C1A">
        <w:rPr>
          <w:rFonts w:ascii="Bookman Old Style" w:eastAsia="Times New Roman" w:hAnsi="Bookman Old Style" w:cs="Times New Roman"/>
          <w:i/>
          <w:iCs/>
          <w:spacing w:val="-3"/>
          <w:kern w:val="0"/>
          <w:sz w:val="28"/>
          <w:szCs w:val="28"/>
          <w:lang w:val="el-GR"/>
          <w14:ligatures w14:val="none"/>
        </w:rPr>
        <w:t>, με παραπομπή στην</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Μαρκιτανής</w:t>
      </w:r>
      <w:r w:rsidR="00101C29">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Μουζούρη (2000) 1 Α.Α.Δ. 923</w:t>
      </w:r>
      <w:r w:rsidRPr="003D3C1A">
        <w:rPr>
          <w:rFonts w:ascii="Bookman Old Style" w:eastAsia="Times New Roman" w:hAnsi="Bookman Old Style" w:cs="Times New Roman"/>
          <w:i/>
          <w:iCs/>
          <w:spacing w:val="-3"/>
          <w:kern w:val="0"/>
          <w:sz w:val="28"/>
          <w:szCs w:val="28"/>
          <w:lang w:val="el-GR"/>
          <w14:ligatures w14:val="none"/>
        </w:rPr>
        <w:t>, τις περιπτώσεις που δικαιολογείται επέμβαση του Εφετείου τις οποίες και κρίνεται αναγκαίο να επαναλάβουμε, ως εκ της αυξητικής τάσης που παρατηρείται στην καταχώριση αιτήσεων και εφέσεων αναλόγως, για έκδοση προνομιακών ενταλμάτων:</w:t>
      </w:r>
    </w:p>
    <w:p w14:paraId="3AD78B3B"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7A051811" w14:textId="0004A1AA"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w:t>
      </w:r>
      <w:r w:rsidR="00101C29">
        <w:rPr>
          <w:rFonts w:ascii="Bookman Old Style" w:eastAsia="Times New Roman" w:hAnsi="Bookman Old Style" w:cs="Times New Roman"/>
          <w:i/>
          <w:iCs/>
          <w:spacing w:val="-3"/>
          <w:kern w:val="0"/>
          <w:sz w:val="28"/>
          <w:szCs w:val="28"/>
          <w14:ligatures w14:val="none"/>
        </w:rPr>
        <w:t>HOLDCO</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άδεια για καταχώρηση αίτησης χορηγείται κατά διακριτική ευχέρεια (βλ. και</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The</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Supreme</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Court</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Practice</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1999,</w:t>
      </w:r>
      <w:r w:rsidR="00101C29">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σελ. 908). Εφόσο πρόκειται για απόφαση που απορρέει από άσκηση διακριτικής ευχέρειας επέμβαση του Εφετείου δικαιολογείται:</w:t>
      </w:r>
    </w:p>
    <w:p w14:paraId="307948E0" w14:textId="7B00CA5F"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p>
    <w:p w14:paraId="37ED873A" w14:textId="77777777" w:rsid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(α) Όπου διαπιστώνεται ότι η διακριτική ευχέρεια ασκήθηκε έξω από το πλαίσιο που παρέχεται από το Νόμο, όπως όταν διαπιστώνεται ότι υπεισήλθαν στην άσκηση της εξωγενείς παράγοντες.</w:t>
      </w:r>
    </w:p>
    <w:p w14:paraId="11C5244A" w14:textId="77777777" w:rsidR="003D3C1A" w:rsidRPr="003D3C1A" w:rsidRDefault="003D3C1A" w:rsidP="00101C29">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p>
    <w:p w14:paraId="22138F8E" w14:textId="1CE1ED74" w:rsidR="003D3C1A" w:rsidRDefault="003D3C1A" w:rsidP="002704A7">
      <w:pPr>
        <w:pStyle w:val="ListParagraph"/>
        <w:tabs>
          <w:tab w:val="left" w:pos="567"/>
        </w:tabs>
        <w:spacing w:after="0" w:line="240" w:lineRule="auto"/>
        <w:ind w:left="567"/>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(β) Όπου η άσκηση της διακριτικής ευχέρειας οδηγεί σε πασιφανή αδικία, όπως είναι η περίπτωση στην οποία δε θα μπορούσε να προέλθει κανένα δικαστήριο (</w:t>
      </w:r>
      <w:r w:rsidRPr="003D3C1A">
        <w:rPr>
          <w:rFonts w:ascii="Bookman Old Style" w:eastAsia="Times New Roman" w:hAnsi="Bookman Old Style" w:cs="Times New Roman"/>
          <w:b/>
          <w:bCs/>
          <w:i/>
          <w:iCs/>
          <w:spacing w:val="-3"/>
          <w:kern w:val="0"/>
          <w:sz w:val="28"/>
          <w:szCs w:val="28"/>
          <w:lang w:val="el-GR"/>
          <w14:ligatures w14:val="none"/>
        </w:rPr>
        <w:t>Αρέστη</w:t>
      </w:r>
      <w:r w:rsidR="00101C29">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Ηλία (1991) 1 Α.Α.Δ. 984, </w:t>
      </w:r>
      <w:r w:rsidRPr="003D3C1A">
        <w:rPr>
          <w:rFonts w:ascii="Bookman Old Style" w:eastAsia="Times New Roman" w:hAnsi="Bookman Old Style" w:cs="Times New Roman"/>
          <w:i/>
          <w:iCs/>
          <w:spacing w:val="-3"/>
          <w:kern w:val="0"/>
          <w:sz w:val="28"/>
          <w:szCs w:val="28"/>
          <w:lang w:val="el-GR"/>
          <w14:ligatures w14:val="none"/>
        </w:rPr>
        <w:t xml:space="preserve">988, 989, </w:t>
      </w:r>
      <w:r w:rsidRPr="003D3C1A">
        <w:rPr>
          <w:rFonts w:ascii="Bookman Old Style" w:eastAsia="Times New Roman" w:hAnsi="Bookman Old Style" w:cs="Times New Roman"/>
          <w:b/>
          <w:bCs/>
          <w:i/>
          <w:iCs/>
          <w:spacing w:val="-3"/>
          <w:kern w:val="0"/>
          <w:sz w:val="28"/>
          <w:szCs w:val="28"/>
          <w:lang w:val="el-GR"/>
          <w14:ligatures w14:val="none"/>
        </w:rPr>
        <w:t xml:space="preserve">Σιακόλας ν. </w:t>
      </w:r>
      <w:r w:rsidRPr="003D3C1A">
        <w:rPr>
          <w:rFonts w:ascii="Bookman Old Style" w:eastAsia="Times New Roman" w:hAnsi="Bookman Old Style" w:cs="Times New Roman"/>
          <w:b/>
          <w:bCs/>
          <w:i/>
          <w:iCs/>
          <w:spacing w:val="-3"/>
          <w:kern w:val="0"/>
          <w:sz w:val="28"/>
          <w:szCs w:val="28"/>
          <w14:ligatures w14:val="none"/>
        </w:rPr>
        <w:t>Federal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Bank</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of</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Lebanon</w:t>
      </w:r>
      <w:r w:rsidRPr="003D3C1A">
        <w:rPr>
          <w:rFonts w:ascii="Bookman Old Style" w:eastAsia="Times New Roman" w:hAnsi="Bookman Old Style" w:cs="Times New Roman"/>
          <w:b/>
          <w:bCs/>
          <w:i/>
          <w:iCs/>
          <w:spacing w:val="-3"/>
          <w:kern w:val="0"/>
          <w:sz w:val="28"/>
          <w:szCs w:val="28"/>
          <w:lang w:val="el-GR"/>
          <w14:ligatures w14:val="none"/>
        </w:rPr>
        <w:t xml:space="preserve"> (1992) 1 </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.Δ. 710)</w:t>
      </w:r>
      <w:r w:rsidRPr="003D3C1A">
        <w:rPr>
          <w:rFonts w:ascii="Bookman Old Style" w:eastAsia="Times New Roman" w:hAnsi="Bookman Old Style" w:cs="Times New Roman"/>
          <w:i/>
          <w:iCs/>
          <w:spacing w:val="-3"/>
          <w:kern w:val="0"/>
          <w:sz w:val="28"/>
          <w:szCs w:val="28"/>
          <w:lang w:val="el-GR"/>
          <w14:ligatures w14:val="none"/>
        </w:rPr>
        <w:t>.</w:t>
      </w:r>
    </w:p>
    <w:p w14:paraId="5DF53D13" w14:textId="77777777" w:rsidR="00EB2047" w:rsidRPr="002704A7" w:rsidRDefault="00EB2047" w:rsidP="002704A7">
      <w:pPr>
        <w:pStyle w:val="ListParagraph"/>
        <w:tabs>
          <w:tab w:val="left" w:pos="567"/>
        </w:tabs>
        <w:spacing w:after="0" w:line="240" w:lineRule="auto"/>
        <w:ind w:left="567"/>
        <w:jc w:val="both"/>
        <w:rPr>
          <w:rFonts w:ascii="Bookman Old Style" w:eastAsia="Times New Roman" w:hAnsi="Bookman Old Style" w:cs="Times New Roman"/>
          <w:i/>
          <w:iCs/>
          <w:spacing w:val="-3"/>
          <w:kern w:val="0"/>
          <w:sz w:val="28"/>
          <w:szCs w:val="28"/>
          <w:lang w:val="el-GR"/>
          <w14:ligatures w14:val="none"/>
        </w:rPr>
      </w:pPr>
    </w:p>
    <w:p w14:paraId="6376F33B" w14:textId="77777777" w:rsidR="003D3C1A" w:rsidRDefault="003D3C1A" w:rsidP="00101C29">
      <w:pPr>
        <w:pStyle w:val="ListParagraph"/>
        <w:tabs>
          <w:tab w:val="left" w:pos="567"/>
        </w:tabs>
        <w:spacing w:after="480" w:line="240" w:lineRule="auto"/>
        <w:ind w:left="567"/>
        <w:jc w:val="both"/>
        <w:rPr>
          <w:rFonts w:ascii="Bookman Old Style" w:eastAsia="Times New Roman" w:hAnsi="Bookman Old Style" w:cs="Times New Roman"/>
          <w:kern w:val="0"/>
          <w:sz w:val="28"/>
          <w:szCs w:val="28"/>
          <w:lang w:val="en-GB"/>
          <w14:ligatures w14:val="none"/>
        </w:rPr>
      </w:pPr>
      <w:r w:rsidRPr="003D3C1A">
        <w:rPr>
          <w:rFonts w:ascii="Bookman Old Style" w:eastAsia="Times New Roman" w:hAnsi="Bookman Old Style" w:cs="Times New Roman"/>
          <w:i/>
          <w:iCs/>
          <w:spacing w:val="-3"/>
          <w:kern w:val="0"/>
          <w:sz w:val="28"/>
          <w:szCs w:val="28"/>
          <w:lang w:val="el-GR"/>
          <w14:ligatures w14:val="none"/>
        </w:rPr>
        <w:t>(γ) Όπου υπάρχει πλάνη ως προς τα γεγονότα, σφάλμα νόμου, εφαρμογή λανθασμένων αρχών δικαίου, λήψη υπόψη άσχετων στοιχείων, μη λήψη υπόψη σχετικών στοιχείων (</w:t>
      </w:r>
      <w:r w:rsidRPr="003D3C1A">
        <w:rPr>
          <w:rFonts w:ascii="Bookman Old Style" w:eastAsia="Times New Roman" w:hAnsi="Bookman Old Style" w:cs="Times New Roman"/>
          <w:b/>
          <w:bCs/>
          <w:i/>
          <w:iCs/>
          <w:spacing w:val="-3"/>
          <w:kern w:val="0"/>
          <w:sz w:val="28"/>
          <w:szCs w:val="28"/>
          <w:lang w:val="el-GR"/>
          <w14:ligatures w14:val="none"/>
        </w:rPr>
        <w:t xml:space="preserve">Νεάρχου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Χαραλάμπους (1991) 1 Α.Α.Δ. 954, </w:t>
      </w:r>
      <w:r w:rsidRPr="003D3C1A">
        <w:rPr>
          <w:rFonts w:ascii="Bookman Old Style" w:eastAsia="Times New Roman" w:hAnsi="Bookman Old Style" w:cs="Times New Roman"/>
          <w:b/>
          <w:bCs/>
          <w:i/>
          <w:iCs/>
          <w:spacing w:val="-3"/>
          <w:kern w:val="0"/>
          <w:sz w:val="28"/>
          <w:szCs w:val="28"/>
          <w14:ligatures w14:val="none"/>
        </w:rPr>
        <w:t>Donald</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Campbell</w:t>
      </w:r>
      <w:r w:rsidRPr="003D3C1A">
        <w:rPr>
          <w:rFonts w:ascii="Bookman Old Style" w:eastAsia="Times New Roman" w:hAnsi="Bookman Old Style" w:cs="Times New Roman"/>
          <w:b/>
          <w:bCs/>
          <w:i/>
          <w:iCs/>
          <w:spacing w:val="-3"/>
          <w:kern w:val="0"/>
          <w:sz w:val="28"/>
          <w:szCs w:val="28"/>
          <w:lang w:val="el-GR"/>
          <w14:ligatures w14:val="none"/>
        </w:rPr>
        <w:t xml:space="preserve"> &amp; </w:t>
      </w:r>
      <w:r w:rsidRPr="003D3C1A">
        <w:rPr>
          <w:rFonts w:ascii="Bookman Old Style" w:eastAsia="Times New Roman" w:hAnsi="Bookman Old Style" w:cs="Times New Roman"/>
          <w:b/>
          <w:bCs/>
          <w:i/>
          <w:iCs/>
          <w:spacing w:val="-3"/>
          <w:kern w:val="0"/>
          <w:sz w:val="28"/>
          <w:szCs w:val="28"/>
          <w14:ligatures w14:val="none"/>
        </w:rPr>
        <w:t>Co</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i/>
          <w:iCs/>
          <w:color w:val="010000"/>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lastRenderedPageBreak/>
        <w:t>Ltd v</w:t>
      </w:r>
      <w:r w:rsidRPr="003D3C1A">
        <w:rPr>
          <w:rFonts w:ascii="Bookman Old Style" w:eastAsia="Times New Roman" w:hAnsi="Bookman Old Style" w:cs="Times New Roman"/>
          <w:b/>
          <w:bCs/>
          <w:i/>
          <w:iCs/>
          <w:spacing w:val="-3"/>
          <w:kern w:val="0"/>
          <w:sz w:val="28"/>
          <w:szCs w:val="28"/>
          <w:lang w:val="en-GB"/>
          <w14:ligatures w14:val="none"/>
        </w:rPr>
        <w:t>.</w:t>
      </w:r>
      <w:r w:rsidRPr="003D3C1A">
        <w:rPr>
          <w:rFonts w:ascii="Bookman Old Style" w:eastAsia="Times New Roman" w:hAnsi="Bookman Old Style" w:cs="Times New Roman"/>
          <w:b/>
          <w:bCs/>
          <w:i/>
          <w:iCs/>
          <w:spacing w:val="-3"/>
          <w:kern w:val="0"/>
          <w:sz w:val="28"/>
          <w:szCs w:val="28"/>
          <w14:ligatures w14:val="none"/>
        </w:rPr>
        <w:t xml:space="preserve"> Pollak [1927] A.C. 732, Evans v. Bartlam [1937] A.C. 473, Young v. Thomas [1892] 2 Ch. 234 </w:t>
      </w:r>
      <w:r w:rsidRPr="003D3C1A">
        <w:rPr>
          <w:rFonts w:ascii="Bookman Old Style" w:eastAsia="Times New Roman" w:hAnsi="Bookman Old Style" w:cs="Times New Roman"/>
          <w:i/>
          <w:iCs/>
          <w:spacing w:val="-3"/>
          <w:kern w:val="0"/>
          <w:sz w:val="28"/>
          <w:szCs w:val="28"/>
          <w14:ligatures w14:val="none"/>
        </w:rPr>
        <w:t xml:space="preserve">και </w:t>
      </w:r>
      <w:r w:rsidRPr="003D3C1A">
        <w:rPr>
          <w:rFonts w:ascii="Bookman Old Style" w:eastAsia="Times New Roman" w:hAnsi="Bookman Old Style" w:cs="Times New Roman"/>
          <w:b/>
          <w:bCs/>
          <w:i/>
          <w:iCs/>
          <w:spacing w:val="-3"/>
          <w:kern w:val="0"/>
          <w:sz w:val="28"/>
          <w:szCs w:val="28"/>
          <w14:ligatures w14:val="none"/>
        </w:rPr>
        <w:t>Egerton v. Jones [1939] 3 All E.R. 892</w:t>
      </w:r>
      <w:r w:rsidRPr="003D3C1A">
        <w:rPr>
          <w:rFonts w:ascii="Bookman Old Style" w:eastAsia="Times New Roman" w:hAnsi="Bookman Old Style" w:cs="Times New Roman"/>
          <w:i/>
          <w:iCs/>
          <w:spacing w:val="-3"/>
          <w:kern w:val="0"/>
          <w:sz w:val="28"/>
          <w:szCs w:val="28"/>
          <w:lang w:val="en-GB"/>
          <w14:ligatures w14:val="none"/>
        </w:rPr>
        <w:t>).</w:t>
      </w:r>
      <w:r w:rsidRPr="003D3C1A">
        <w:rPr>
          <w:rFonts w:ascii="Bookman Old Style" w:eastAsia="Times New Roman" w:hAnsi="Bookman Old Style" w:cs="Times New Roman"/>
          <w:i/>
          <w:iCs/>
          <w:kern w:val="0"/>
          <w:sz w:val="28"/>
          <w:szCs w:val="28"/>
          <w:lang w:val="en-GB"/>
          <w14:ligatures w14:val="none"/>
        </w:rPr>
        <w:t>"</w:t>
      </w:r>
      <w:r w:rsidRPr="003D3C1A">
        <w:rPr>
          <w:rFonts w:ascii="Bookman Old Style" w:eastAsia="Times New Roman" w:hAnsi="Bookman Old Style" w:cs="Times New Roman"/>
          <w:kern w:val="0"/>
          <w:sz w:val="28"/>
          <w:szCs w:val="28"/>
          <w:lang w:val="en-GB"/>
          <w14:ligatures w14:val="none"/>
        </w:rPr>
        <w:t>»</w:t>
      </w:r>
    </w:p>
    <w:p w14:paraId="5A8BC7DA" w14:textId="77777777" w:rsidR="00101C29" w:rsidRPr="003D3C1A" w:rsidRDefault="00101C29" w:rsidP="00101C29">
      <w:pPr>
        <w:pStyle w:val="ListParagraph"/>
        <w:tabs>
          <w:tab w:val="left" w:pos="567"/>
        </w:tabs>
        <w:spacing w:after="0" w:line="240" w:lineRule="auto"/>
        <w:ind w:left="567"/>
        <w:jc w:val="both"/>
        <w:rPr>
          <w:rFonts w:ascii="Bookman Old Style" w:eastAsia="Times New Roman" w:hAnsi="Bookman Old Style" w:cs="Times New Roman"/>
          <w:kern w:val="0"/>
          <w:sz w:val="28"/>
          <w:szCs w:val="28"/>
          <w:lang w:val="en-GB"/>
          <w14:ligatures w14:val="none"/>
        </w:rPr>
      </w:pPr>
    </w:p>
    <w:p w14:paraId="61CE17A8" w14:textId="54271979" w:rsidR="00D533BB" w:rsidRDefault="002B73F6" w:rsidP="00101C29">
      <w:pPr>
        <w:tabs>
          <w:tab w:val="left" w:pos="567"/>
        </w:tabs>
        <w:spacing w:before="240" w:line="480" w:lineRule="auto"/>
        <w:jc w:val="both"/>
        <w:rPr>
          <w:rFonts w:ascii="Bookman Old Style" w:hAnsi="Bookman Old Style"/>
          <w:sz w:val="28"/>
          <w:szCs w:val="28"/>
          <w:lang w:val="el-GR"/>
        </w:rPr>
      </w:pPr>
      <w:r w:rsidRPr="00263ABC">
        <w:rPr>
          <w:rFonts w:ascii="Bookman Old Style" w:hAnsi="Bookman Old Style"/>
          <w:sz w:val="28"/>
          <w:szCs w:val="28"/>
        </w:rPr>
        <w:tab/>
      </w:r>
      <w:r w:rsidR="00D533BB">
        <w:rPr>
          <w:rFonts w:ascii="Bookman Old Style" w:hAnsi="Bookman Old Style"/>
          <w:sz w:val="28"/>
          <w:szCs w:val="28"/>
          <w:lang w:val="el-GR"/>
        </w:rPr>
        <w:t xml:space="preserve">Στην Έκθεση </w:t>
      </w:r>
      <w:r w:rsidR="00482B83">
        <w:rPr>
          <w:rFonts w:ascii="Bookman Old Style" w:hAnsi="Bookman Old Style"/>
          <w:sz w:val="28"/>
          <w:szCs w:val="28"/>
          <w:lang w:val="el-GR"/>
        </w:rPr>
        <w:t xml:space="preserve">και στην ένορκη δήλωση του Αιτητή 2 οι οποίες </w:t>
      </w:r>
      <w:r w:rsidR="00D533BB">
        <w:rPr>
          <w:rFonts w:ascii="Bookman Old Style" w:hAnsi="Bookman Old Style"/>
          <w:sz w:val="28"/>
          <w:szCs w:val="28"/>
          <w:lang w:val="el-GR"/>
        </w:rPr>
        <w:t>συνοδεύ</w:t>
      </w:r>
      <w:r w:rsidR="00482B83">
        <w:rPr>
          <w:rFonts w:ascii="Bookman Old Style" w:hAnsi="Bookman Old Style"/>
          <w:sz w:val="28"/>
          <w:szCs w:val="28"/>
          <w:lang w:val="el-GR"/>
        </w:rPr>
        <w:t>ουν</w:t>
      </w:r>
      <w:r w:rsidR="00D533BB">
        <w:rPr>
          <w:rFonts w:ascii="Bookman Old Style" w:hAnsi="Bookman Old Style"/>
          <w:sz w:val="28"/>
          <w:szCs w:val="28"/>
          <w:lang w:val="el-GR"/>
        </w:rPr>
        <w:t xml:space="preserve"> την Αίτηση, αναφέρεται ότι η Αιτήτρια 1 είναι δικηγορική εταιρεία, οι Αιτητές 2 και 3 δικηγόροι, μέτοχοι και διευθυντές της, η Αιτήτρια 4 δικηγόρος, οι Αιτήτριες 5 και 6 εργοδοτούμενες ως γραμματειακό προσωπικό στην Αιτήτρια 1 και η Αιτήτρια 7 είναι γραμματειακή λειτουργός στο Τμήμα Πολεοδομίας και Οικήσεως του Υπουργείου Εσωτερικών και μεταξύ των ετών 2010 και 2017 διετέλεσε διοικητική σύμβουλος στην πρεσβεία της Κυπριακής Δημοκρατίας στην Κίνα. </w:t>
      </w:r>
    </w:p>
    <w:p w14:paraId="7C1A4CD3" w14:textId="3940B1E6" w:rsidR="003D3C1A" w:rsidRDefault="00263ABC"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2B73F6">
        <w:rPr>
          <w:rFonts w:ascii="Bookman Old Style" w:hAnsi="Bookman Old Style"/>
          <w:sz w:val="28"/>
          <w:szCs w:val="28"/>
          <w:lang w:val="el-GR"/>
        </w:rPr>
        <w:t xml:space="preserve">Το </w:t>
      </w:r>
      <w:r>
        <w:rPr>
          <w:rFonts w:ascii="Bookman Old Style" w:hAnsi="Bookman Old Style"/>
          <w:sz w:val="28"/>
          <w:szCs w:val="28"/>
          <w:lang w:val="el-GR"/>
        </w:rPr>
        <w:t>διάταγμα</w:t>
      </w:r>
      <w:r w:rsidR="002B73F6">
        <w:rPr>
          <w:rFonts w:ascii="Bookman Old Style" w:hAnsi="Bookman Old Style"/>
          <w:sz w:val="28"/>
          <w:szCs w:val="28"/>
          <w:lang w:val="el-GR"/>
        </w:rPr>
        <w:t xml:space="preserve"> και το σχετικό πρακτικό του κατώτερου Δικαστηρίου επισυνάπτονται ως Τεκμήριο 1 στην ένορκη δήλωση του Αιτητή 2. </w:t>
      </w:r>
      <w:r w:rsidR="006526F2">
        <w:rPr>
          <w:rFonts w:ascii="Bookman Old Style" w:hAnsi="Bookman Old Style"/>
          <w:sz w:val="28"/>
          <w:szCs w:val="28"/>
          <w:lang w:val="el-GR"/>
        </w:rPr>
        <w:t xml:space="preserve">Το </w:t>
      </w:r>
      <w:r w:rsidR="00221525">
        <w:rPr>
          <w:rFonts w:ascii="Bookman Old Style" w:hAnsi="Bookman Old Style"/>
          <w:sz w:val="28"/>
          <w:szCs w:val="28"/>
          <w:lang w:val="el-GR"/>
        </w:rPr>
        <w:t>διάταγμα εξουσιοδοτεί και εγκρίνει την πρόσβαση, επιθεώρηση και λήψη από τα πρόσωπα που αναφέρονται στο Μέρος Ι της αίτησης για την έκδοση του διατάγματος</w:t>
      </w:r>
      <w:r w:rsidR="006526F2">
        <w:rPr>
          <w:rFonts w:ascii="Bookman Old Style" w:hAnsi="Bookman Old Style"/>
          <w:sz w:val="28"/>
          <w:szCs w:val="28"/>
          <w:lang w:val="el-GR"/>
        </w:rPr>
        <w:t>,</w:t>
      </w:r>
      <w:r w:rsidR="00221525">
        <w:rPr>
          <w:rFonts w:ascii="Bookman Old Style" w:hAnsi="Bookman Old Style"/>
          <w:sz w:val="28"/>
          <w:szCs w:val="28"/>
          <w:lang w:val="el-GR"/>
        </w:rPr>
        <w:t xml:space="preserve"> περιεχ</w:t>
      </w:r>
      <w:r w:rsidR="004D0EB3">
        <w:rPr>
          <w:rFonts w:ascii="Bookman Old Style" w:hAnsi="Bookman Old Style"/>
          <w:sz w:val="28"/>
          <w:szCs w:val="28"/>
          <w:lang w:val="el-GR"/>
        </w:rPr>
        <w:t>ομένου</w:t>
      </w:r>
      <w:r w:rsidR="00221525">
        <w:rPr>
          <w:rFonts w:ascii="Bookman Old Style" w:hAnsi="Bookman Old Style"/>
          <w:sz w:val="28"/>
          <w:szCs w:val="28"/>
          <w:lang w:val="el-GR"/>
        </w:rPr>
        <w:t xml:space="preserve"> οποιασδήποτε ιδιωτικής επικοινωνίας που βρίσκεται καταγεγραμμένο ή αποθηκευμένο στα τεκμήρια που περιγράφονται στο Μέρος ΙΙ της αίτησης</w:t>
      </w:r>
      <w:r w:rsidR="006526F2">
        <w:rPr>
          <w:rFonts w:ascii="Bookman Old Style" w:hAnsi="Bookman Old Style"/>
          <w:sz w:val="28"/>
          <w:szCs w:val="28"/>
          <w:lang w:val="el-GR"/>
        </w:rPr>
        <w:t xml:space="preserve">, το οποίο συνδέεται ή είναι συναφές με τη διερεύνηση των αδικημάτων που </w:t>
      </w:r>
      <w:r w:rsidR="006526F2">
        <w:rPr>
          <w:rFonts w:ascii="Bookman Old Style" w:hAnsi="Bookman Old Style"/>
          <w:sz w:val="28"/>
          <w:szCs w:val="28"/>
          <w:lang w:val="el-GR"/>
        </w:rPr>
        <w:lastRenderedPageBreak/>
        <w:t xml:space="preserve">αναφέρονται στην αίτηση και αφορά στη χρονική περίοδο από το έτος 2011 μέχρι το έτος 2021, καθώς και να αποκτήσουν πρόσβαση σε δεδομένα, όπως αυτά ορίζονται στο άρθρο 23(2) του Ν.92(Ι)/96, τα οποία συνδέονται με τα ως άνω υπό διερεύνηση αδικήματα και εύλογα πιστεύεται ότι βρίσκονται καταγεγραμμένα στα τεκμήρια που περιγράφονται στο Μέρος ΙΙ της αίτησης. </w:t>
      </w:r>
      <w:r w:rsidR="00D962B0">
        <w:rPr>
          <w:rFonts w:ascii="Bookman Old Style" w:hAnsi="Bookman Old Style"/>
          <w:sz w:val="28"/>
          <w:szCs w:val="28"/>
          <w:lang w:val="el-GR"/>
        </w:rPr>
        <w:t xml:space="preserve">Στο διάταγμα </w:t>
      </w:r>
      <w:r w:rsidR="009F4135">
        <w:rPr>
          <w:rFonts w:ascii="Bookman Old Style" w:hAnsi="Bookman Old Style"/>
          <w:sz w:val="28"/>
          <w:szCs w:val="28"/>
          <w:lang w:val="el-GR"/>
        </w:rPr>
        <w:t>διατάσσε</w:t>
      </w:r>
      <w:r w:rsidR="00D962B0">
        <w:rPr>
          <w:rFonts w:ascii="Bookman Old Style" w:hAnsi="Bookman Old Style"/>
          <w:sz w:val="28"/>
          <w:szCs w:val="28"/>
          <w:lang w:val="el-GR"/>
        </w:rPr>
        <w:t xml:space="preserve">ται όπως η εκτέλεση του πραγματοποιηθεί σε χρονικό διάστημα που είναι απολύτως αναγκαίο για την επίτευξη του στόχου και εν πάση περιπτώσει εντός 30 ημερών και γίνεται παραπομπή στο πρακτικό του Δικαστηρίου ημερ. 28.7.2023 το οποίο αποτελεί μέρος του Τεκμηρίου 1. </w:t>
      </w:r>
    </w:p>
    <w:p w14:paraId="3C410BC7" w14:textId="6374EA0D" w:rsidR="00DC1F49" w:rsidRDefault="00DC1F49"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640359">
        <w:rPr>
          <w:rFonts w:ascii="Bookman Old Style" w:hAnsi="Bookman Old Style"/>
          <w:sz w:val="28"/>
          <w:szCs w:val="28"/>
          <w:lang w:val="el-GR"/>
        </w:rPr>
        <w:t xml:space="preserve">Το πρώτο ζήτημα το οποίο εγείρεται από τους Αιτητές αφορά στη χρονική περίοδο που καλύπτει το υπό κρίση διάταγμα. </w:t>
      </w:r>
    </w:p>
    <w:p w14:paraId="70C47E38" w14:textId="24CD03B7" w:rsidR="006620F0" w:rsidRDefault="006620F0"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Με τον </w:t>
      </w:r>
      <w:r w:rsidRPr="006620F0">
        <w:rPr>
          <w:rFonts w:ascii="Bookman Old Style" w:hAnsi="Bookman Old Style"/>
          <w:b/>
          <w:bCs/>
          <w:i/>
          <w:iCs/>
          <w:sz w:val="28"/>
          <w:szCs w:val="28"/>
          <w:lang w:val="el-GR"/>
        </w:rPr>
        <w:t>περί της Έκτης Τροποποίησης του Συντάγματος Νόμο του 2010, Ν.55(Ι)/</w:t>
      </w:r>
      <w:r w:rsidR="00F12057">
        <w:rPr>
          <w:rFonts w:ascii="Bookman Old Style" w:hAnsi="Bookman Old Style"/>
          <w:b/>
          <w:bCs/>
          <w:i/>
          <w:iCs/>
          <w:sz w:val="28"/>
          <w:szCs w:val="28"/>
          <w:lang w:val="el-GR"/>
        </w:rPr>
        <w:t>20</w:t>
      </w:r>
      <w:r w:rsidRPr="006620F0">
        <w:rPr>
          <w:rFonts w:ascii="Bookman Old Style" w:hAnsi="Bookman Old Style"/>
          <w:b/>
          <w:bCs/>
          <w:i/>
          <w:iCs/>
          <w:sz w:val="28"/>
          <w:szCs w:val="28"/>
          <w:lang w:val="el-GR"/>
        </w:rPr>
        <w:t>10</w:t>
      </w:r>
      <w:r>
        <w:rPr>
          <w:rFonts w:ascii="Bookman Old Style" w:hAnsi="Bookman Old Style"/>
          <w:sz w:val="28"/>
          <w:szCs w:val="28"/>
          <w:lang w:val="el-GR"/>
        </w:rPr>
        <w:t xml:space="preserve">, το </w:t>
      </w:r>
      <w:r w:rsidR="0062070D">
        <w:rPr>
          <w:rFonts w:ascii="Bookman Old Style" w:hAnsi="Bookman Old Style"/>
          <w:b/>
          <w:bCs/>
          <w:i/>
          <w:iCs/>
          <w:sz w:val="28"/>
          <w:szCs w:val="28"/>
          <w:lang w:val="el-GR"/>
        </w:rPr>
        <w:t>Ά</w:t>
      </w:r>
      <w:r w:rsidRPr="006620F0">
        <w:rPr>
          <w:rFonts w:ascii="Bookman Old Style" w:hAnsi="Bookman Old Style"/>
          <w:b/>
          <w:bCs/>
          <w:i/>
          <w:iCs/>
          <w:sz w:val="28"/>
          <w:szCs w:val="28"/>
          <w:lang w:val="el-GR"/>
        </w:rPr>
        <w:t>ρθρο 17.2 του Συντάγματος</w:t>
      </w:r>
      <w:r>
        <w:rPr>
          <w:rFonts w:ascii="Bookman Old Style" w:hAnsi="Bookman Old Style"/>
          <w:sz w:val="28"/>
          <w:szCs w:val="28"/>
          <w:lang w:val="el-GR"/>
        </w:rPr>
        <w:t xml:space="preserve"> τροποποιήθηκε ούτως ώστε να επιτρέπεται η επέμβαση </w:t>
      </w:r>
      <w:r w:rsidR="00773BC0">
        <w:rPr>
          <w:rFonts w:ascii="Bookman Old Style" w:hAnsi="Bookman Old Style"/>
          <w:sz w:val="28"/>
          <w:szCs w:val="28"/>
          <w:lang w:val="el-GR"/>
        </w:rPr>
        <w:t xml:space="preserve">στο </w:t>
      </w:r>
      <w:r>
        <w:rPr>
          <w:rFonts w:ascii="Bookman Old Style" w:hAnsi="Bookman Old Style"/>
          <w:sz w:val="28"/>
          <w:szCs w:val="28"/>
          <w:lang w:val="el-GR"/>
        </w:rPr>
        <w:t>δικα</w:t>
      </w:r>
      <w:r w:rsidR="00773BC0">
        <w:rPr>
          <w:rFonts w:ascii="Bookman Old Style" w:hAnsi="Bookman Old Style"/>
          <w:sz w:val="28"/>
          <w:szCs w:val="28"/>
          <w:lang w:val="el-GR"/>
        </w:rPr>
        <w:t xml:space="preserve">ίωμα </w:t>
      </w:r>
      <w:r>
        <w:rPr>
          <w:rFonts w:ascii="Bookman Old Style" w:hAnsi="Bookman Old Style"/>
          <w:sz w:val="28"/>
          <w:szCs w:val="28"/>
          <w:lang w:val="el-GR"/>
        </w:rPr>
        <w:t xml:space="preserve">αλληλογραφίας και επικοινωνίας, </w:t>
      </w:r>
      <w:r w:rsidR="00CB3915">
        <w:rPr>
          <w:rFonts w:ascii="Bookman Old Style" w:hAnsi="Bookman Old Style"/>
          <w:sz w:val="28"/>
          <w:szCs w:val="28"/>
          <w:lang w:val="el-GR"/>
        </w:rPr>
        <w:t>νοουμένου ότι αυτή επιτρέπεται σύμφωνα με το</w:t>
      </w:r>
      <w:r w:rsidR="00773BC0">
        <w:rPr>
          <w:rFonts w:ascii="Bookman Old Style" w:hAnsi="Bookman Old Style"/>
          <w:sz w:val="28"/>
          <w:szCs w:val="28"/>
          <w:lang w:val="el-GR"/>
        </w:rPr>
        <w:t>ν</w:t>
      </w:r>
      <w:r w:rsidR="00CB3915">
        <w:rPr>
          <w:rFonts w:ascii="Bookman Old Style" w:hAnsi="Bookman Old Style"/>
          <w:sz w:val="28"/>
          <w:szCs w:val="28"/>
          <w:lang w:val="el-GR"/>
        </w:rPr>
        <w:t xml:space="preserve"> νόμο, </w:t>
      </w:r>
      <w:r>
        <w:rPr>
          <w:rFonts w:ascii="Bookman Old Style" w:hAnsi="Bookman Old Style"/>
          <w:sz w:val="28"/>
          <w:szCs w:val="28"/>
          <w:lang w:val="el-GR"/>
        </w:rPr>
        <w:t>κατόπιν δικαστικού διατάγματος σε αίτηση του Γενικού Εισαγγελέα σε σχέση με τα εκεί καθοριζόμενα σοβαρά ποινικά αδικήματα</w:t>
      </w:r>
      <w:r w:rsidR="004C3F0B">
        <w:rPr>
          <w:rFonts w:ascii="Bookman Old Style" w:hAnsi="Bookman Old Style"/>
          <w:sz w:val="28"/>
          <w:szCs w:val="28"/>
          <w:lang w:val="el-GR"/>
        </w:rPr>
        <w:t>. Ανάμεσα σε αυτά</w:t>
      </w:r>
      <w:r>
        <w:rPr>
          <w:rFonts w:ascii="Bookman Old Style" w:hAnsi="Bookman Old Style"/>
          <w:sz w:val="28"/>
          <w:szCs w:val="28"/>
          <w:lang w:val="el-GR"/>
        </w:rPr>
        <w:t xml:space="preserve"> περιλαμβάνονται τα αδικήματα </w:t>
      </w:r>
      <w:r>
        <w:rPr>
          <w:rFonts w:ascii="Bookman Old Style" w:hAnsi="Bookman Old Style"/>
          <w:sz w:val="28"/>
          <w:szCs w:val="28"/>
          <w:lang w:val="el-GR"/>
        </w:rPr>
        <w:lastRenderedPageBreak/>
        <w:t xml:space="preserve">διαφθοράς για τα οποία προβλέπεται ποινή φυλάκισης πέντε ετών και άνω σε περίπτωση καταδίκης. </w:t>
      </w:r>
    </w:p>
    <w:p w14:paraId="01479AE0" w14:textId="7C913614" w:rsidR="00037F91" w:rsidRDefault="00EB2C83"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Ο τροποποιητικός του </w:t>
      </w:r>
      <w:r w:rsidRPr="00EB2C83">
        <w:rPr>
          <w:rFonts w:ascii="Bookman Old Style" w:hAnsi="Bookman Old Style"/>
          <w:b/>
          <w:bCs/>
          <w:i/>
          <w:iCs/>
          <w:sz w:val="28"/>
          <w:szCs w:val="28"/>
          <w:lang w:val="el-GR"/>
        </w:rPr>
        <w:t>περί Προστασίας του Απορρήτου της Ιδιωτικής Επικοινωνίας (Παρακολούθηση Συνδιαλέξεων) Νόμου του 1996</w:t>
      </w:r>
      <w:r w:rsidRPr="00773BC0">
        <w:rPr>
          <w:rFonts w:ascii="Bookman Old Style" w:hAnsi="Bookman Old Style"/>
          <w:sz w:val="28"/>
          <w:szCs w:val="28"/>
          <w:lang w:val="el-GR"/>
        </w:rPr>
        <w:t xml:space="preserve">, </w:t>
      </w:r>
      <w:r w:rsidR="00773BC0" w:rsidRPr="00773BC0">
        <w:rPr>
          <w:rFonts w:ascii="Bookman Old Style" w:hAnsi="Bookman Old Style"/>
          <w:sz w:val="28"/>
          <w:szCs w:val="28"/>
          <w:lang w:val="el-GR"/>
        </w:rPr>
        <w:t>δηλαδή ο</w:t>
      </w:r>
      <w:r w:rsidR="00773BC0">
        <w:rPr>
          <w:rFonts w:ascii="Bookman Old Style" w:hAnsi="Bookman Old Style"/>
          <w:b/>
          <w:bCs/>
          <w:i/>
          <w:iCs/>
          <w:sz w:val="28"/>
          <w:szCs w:val="28"/>
          <w:lang w:val="el-GR"/>
        </w:rPr>
        <w:t xml:space="preserve"> </w:t>
      </w:r>
      <w:r w:rsidRPr="00EB2C83">
        <w:rPr>
          <w:rFonts w:ascii="Bookman Old Style" w:hAnsi="Bookman Old Style"/>
          <w:b/>
          <w:bCs/>
          <w:i/>
          <w:iCs/>
          <w:sz w:val="28"/>
          <w:szCs w:val="28"/>
          <w:lang w:val="el-GR"/>
        </w:rPr>
        <w:t>Ν.216(Ι)/</w:t>
      </w:r>
      <w:r w:rsidR="00F12057">
        <w:rPr>
          <w:rFonts w:ascii="Bookman Old Style" w:hAnsi="Bookman Old Style"/>
          <w:b/>
          <w:bCs/>
          <w:i/>
          <w:iCs/>
          <w:sz w:val="28"/>
          <w:szCs w:val="28"/>
          <w:lang w:val="el-GR"/>
        </w:rPr>
        <w:t>20</w:t>
      </w:r>
      <w:r w:rsidRPr="00EB2C83">
        <w:rPr>
          <w:rFonts w:ascii="Bookman Old Style" w:hAnsi="Bookman Old Style"/>
          <w:b/>
          <w:bCs/>
          <w:i/>
          <w:iCs/>
          <w:sz w:val="28"/>
          <w:szCs w:val="28"/>
          <w:lang w:val="el-GR"/>
        </w:rPr>
        <w:t>15</w:t>
      </w:r>
      <w:r>
        <w:rPr>
          <w:rFonts w:ascii="Bookman Old Style" w:hAnsi="Bookman Old Style"/>
          <w:sz w:val="28"/>
          <w:szCs w:val="28"/>
          <w:lang w:val="el-GR"/>
        </w:rPr>
        <w:t xml:space="preserve">, </w:t>
      </w:r>
      <w:r w:rsidR="00321190">
        <w:rPr>
          <w:rFonts w:ascii="Bookman Old Style" w:hAnsi="Bookman Old Style"/>
          <w:sz w:val="28"/>
          <w:szCs w:val="28"/>
          <w:lang w:val="el-GR"/>
        </w:rPr>
        <w:t>επέτρεψε την παροχή πρόσβαση</w:t>
      </w:r>
      <w:r w:rsidR="005E1C19">
        <w:rPr>
          <w:rFonts w:ascii="Bookman Old Style" w:hAnsi="Bookman Old Style"/>
          <w:sz w:val="28"/>
          <w:szCs w:val="28"/>
          <w:lang w:val="el-GR"/>
        </w:rPr>
        <w:t>ς</w:t>
      </w:r>
      <w:r w:rsidR="00321190">
        <w:rPr>
          <w:rFonts w:ascii="Bookman Old Style" w:hAnsi="Bookman Old Style"/>
          <w:sz w:val="28"/>
          <w:szCs w:val="28"/>
          <w:lang w:val="el-GR"/>
        </w:rPr>
        <w:t xml:space="preserve"> στο περιεχόμενο ιδιωτικής επικοινωνία</w:t>
      </w:r>
      <w:r w:rsidR="00040175">
        <w:rPr>
          <w:rFonts w:ascii="Bookman Old Style" w:hAnsi="Bookman Old Style"/>
          <w:sz w:val="28"/>
          <w:szCs w:val="28"/>
          <w:lang w:val="el-GR"/>
        </w:rPr>
        <w:t>ς</w:t>
      </w:r>
      <w:r w:rsidR="00321190">
        <w:rPr>
          <w:rFonts w:ascii="Bookman Old Style" w:hAnsi="Bookman Old Style"/>
          <w:sz w:val="28"/>
          <w:szCs w:val="28"/>
          <w:lang w:val="el-GR"/>
        </w:rPr>
        <w:t xml:space="preserve"> και </w:t>
      </w:r>
      <w:r w:rsidR="00773BC0">
        <w:rPr>
          <w:rFonts w:ascii="Bookman Old Style" w:hAnsi="Bookman Old Style"/>
          <w:sz w:val="28"/>
          <w:szCs w:val="28"/>
          <w:lang w:val="el-GR"/>
        </w:rPr>
        <w:t xml:space="preserve">με αυτή </w:t>
      </w:r>
      <w:r w:rsidR="00321190">
        <w:rPr>
          <w:rFonts w:ascii="Bookman Old Style" w:hAnsi="Bookman Old Style"/>
          <w:sz w:val="28"/>
          <w:szCs w:val="28"/>
          <w:lang w:val="el-GR"/>
        </w:rPr>
        <w:t xml:space="preserve">προστέθηκε το </w:t>
      </w:r>
      <w:r w:rsidR="00037F91">
        <w:rPr>
          <w:rFonts w:ascii="Bookman Old Style" w:hAnsi="Bookman Old Style"/>
          <w:sz w:val="28"/>
          <w:szCs w:val="28"/>
          <w:lang w:val="el-GR"/>
        </w:rPr>
        <w:t xml:space="preserve">σχετικό </w:t>
      </w:r>
      <w:r w:rsidR="00321190" w:rsidRPr="00321190">
        <w:rPr>
          <w:rFonts w:ascii="Bookman Old Style" w:hAnsi="Bookman Old Style"/>
          <w:b/>
          <w:bCs/>
          <w:i/>
          <w:iCs/>
          <w:sz w:val="28"/>
          <w:szCs w:val="28"/>
          <w:lang w:val="el-GR"/>
        </w:rPr>
        <w:t xml:space="preserve">Μέρος </w:t>
      </w:r>
      <w:r w:rsidR="00321190" w:rsidRPr="00321190">
        <w:rPr>
          <w:rFonts w:ascii="Bookman Old Style" w:hAnsi="Bookman Old Style"/>
          <w:b/>
          <w:bCs/>
          <w:i/>
          <w:iCs/>
          <w:sz w:val="28"/>
          <w:szCs w:val="28"/>
        </w:rPr>
        <w:t>IVA</w:t>
      </w:r>
      <w:r w:rsidR="00321190" w:rsidRPr="00321190">
        <w:rPr>
          <w:rFonts w:ascii="Bookman Old Style" w:hAnsi="Bookman Old Style"/>
          <w:sz w:val="28"/>
          <w:szCs w:val="28"/>
          <w:lang w:val="el-GR"/>
        </w:rPr>
        <w:t xml:space="preserve"> </w:t>
      </w:r>
      <w:r w:rsidR="00321190">
        <w:rPr>
          <w:rFonts w:ascii="Bookman Old Style" w:hAnsi="Bookman Old Style"/>
          <w:sz w:val="28"/>
          <w:szCs w:val="28"/>
          <w:lang w:val="el-GR"/>
        </w:rPr>
        <w:t xml:space="preserve">του Νόμου. </w:t>
      </w:r>
      <w:r w:rsidR="005F062A">
        <w:rPr>
          <w:rFonts w:ascii="Bookman Old Style" w:hAnsi="Bookman Old Style"/>
          <w:sz w:val="28"/>
          <w:szCs w:val="28"/>
          <w:lang w:val="el-GR"/>
        </w:rPr>
        <w:t>Ο εν λόγω τροποποιητικός Νόμος δημοσιεύτηκε στις 31.12.2015</w:t>
      </w:r>
      <w:r w:rsidR="003B4296">
        <w:rPr>
          <w:rFonts w:ascii="Bookman Old Style" w:hAnsi="Bookman Old Style"/>
          <w:sz w:val="28"/>
          <w:szCs w:val="28"/>
          <w:lang w:val="el-GR"/>
        </w:rPr>
        <w:t xml:space="preserve">, επομένως μέχρι την εν λόγω ημερομηνία δεν υπήρχε </w:t>
      </w:r>
      <w:r w:rsidR="0046149A">
        <w:rPr>
          <w:rFonts w:ascii="Bookman Old Style" w:hAnsi="Bookman Old Style"/>
          <w:sz w:val="28"/>
          <w:szCs w:val="28"/>
          <w:lang w:val="el-GR"/>
        </w:rPr>
        <w:t>ν</w:t>
      </w:r>
      <w:r w:rsidR="003B4296">
        <w:rPr>
          <w:rFonts w:ascii="Bookman Old Style" w:hAnsi="Bookman Old Style"/>
          <w:sz w:val="28"/>
          <w:szCs w:val="28"/>
          <w:lang w:val="el-GR"/>
        </w:rPr>
        <w:t>όμος ο οποίος επέτρεπε τέτοια πρόσβαση</w:t>
      </w:r>
      <w:r w:rsidR="005F062A">
        <w:rPr>
          <w:rFonts w:ascii="Bookman Old Style" w:hAnsi="Bookman Old Style"/>
          <w:sz w:val="28"/>
          <w:szCs w:val="28"/>
          <w:lang w:val="el-GR"/>
        </w:rPr>
        <w:t xml:space="preserve">. </w:t>
      </w:r>
    </w:p>
    <w:p w14:paraId="663B20CB" w14:textId="3A941F1C" w:rsidR="001824FC" w:rsidRDefault="001824FC"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773BC0">
        <w:rPr>
          <w:rFonts w:ascii="Bookman Old Style" w:hAnsi="Bookman Old Style"/>
          <w:sz w:val="28"/>
          <w:szCs w:val="28"/>
          <w:lang w:val="el-GR"/>
        </w:rPr>
        <w:t>Οι Αιτητές εισηγούνται ότι τ</w:t>
      </w:r>
      <w:r w:rsidR="0040271D">
        <w:rPr>
          <w:rFonts w:ascii="Bookman Old Style" w:hAnsi="Bookman Old Style"/>
          <w:sz w:val="28"/>
          <w:szCs w:val="28"/>
          <w:lang w:val="el-GR"/>
        </w:rPr>
        <w:t xml:space="preserve">ίθεται </w:t>
      </w:r>
      <w:r>
        <w:rPr>
          <w:rFonts w:ascii="Bookman Old Style" w:hAnsi="Bookman Old Style"/>
          <w:sz w:val="28"/>
          <w:szCs w:val="28"/>
          <w:lang w:val="el-GR"/>
        </w:rPr>
        <w:t xml:space="preserve">ζήτημα της αναδρομικής ή μη ισχύος του </w:t>
      </w:r>
      <w:r w:rsidRPr="001824FC">
        <w:rPr>
          <w:rFonts w:ascii="Bookman Old Style" w:hAnsi="Bookman Old Style"/>
          <w:b/>
          <w:bCs/>
          <w:i/>
          <w:iCs/>
          <w:sz w:val="28"/>
          <w:szCs w:val="28"/>
          <w:lang w:val="el-GR"/>
        </w:rPr>
        <w:t>Ν.216(Ι)/2015</w:t>
      </w:r>
      <w:r>
        <w:rPr>
          <w:rFonts w:ascii="Bookman Old Style" w:hAnsi="Bookman Old Style"/>
          <w:sz w:val="28"/>
          <w:szCs w:val="28"/>
          <w:lang w:val="el-GR"/>
        </w:rPr>
        <w:t xml:space="preserve"> </w:t>
      </w:r>
      <w:r w:rsidR="0040271D">
        <w:rPr>
          <w:rFonts w:ascii="Bookman Old Style" w:hAnsi="Bookman Old Style"/>
          <w:sz w:val="28"/>
          <w:szCs w:val="28"/>
          <w:lang w:val="el-GR"/>
        </w:rPr>
        <w:t>και αναφορικά με τ</w:t>
      </w:r>
      <w:r w:rsidR="00773BC0">
        <w:rPr>
          <w:rFonts w:ascii="Bookman Old Style" w:hAnsi="Bookman Old Style"/>
          <w:sz w:val="28"/>
          <w:szCs w:val="28"/>
          <w:lang w:val="el-GR"/>
        </w:rPr>
        <w:t xml:space="preserve">η </w:t>
      </w:r>
      <w:r>
        <w:rPr>
          <w:rFonts w:ascii="Bookman Old Style" w:hAnsi="Bookman Old Style"/>
          <w:sz w:val="28"/>
          <w:szCs w:val="28"/>
          <w:lang w:val="el-GR"/>
        </w:rPr>
        <w:t xml:space="preserve">χρονική διάρκεια </w:t>
      </w:r>
      <w:r w:rsidR="00994A59">
        <w:rPr>
          <w:rFonts w:ascii="Bookman Old Style" w:hAnsi="Bookman Old Style"/>
          <w:sz w:val="28"/>
          <w:szCs w:val="28"/>
          <w:lang w:val="el-GR"/>
        </w:rPr>
        <w:t xml:space="preserve">της </w:t>
      </w:r>
      <w:r>
        <w:rPr>
          <w:rFonts w:ascii="Bookman Old Style" w:hAnsi="Bookman Old Style"/>
          <w:sz w:val="28"/>
          <w:szCs w:val="28"/>
          <w:lang w:val="el-GR"/>
        </w:rPr>
        <w:t>παρακολούθηση</w:t>
      </w:r>
      <w:r w:rsidR="00994A59">
        <w:rPr>
          <w:rFonts w:ascii="Bookman Old Style" w:hAnsi="Bookman Old Style"/>
          <w:sz w:val="28"/>
          <w:szCs w:val="28"/>
          <w:lang w:val="el-GR"/>
        </w:rPr>
        <w:t>ς</w:t>
      </w:r>
      <w:r>
        <w:rPr>
          <w:rFonts w:ascii="Bookman Old Style" w:hAnsi="Bookman Old Style"/>
          <w:sz w:val="28"/>
          <w:szCs w:val="28"/>
          <w:lang w:val="el-GR"/>
        </w:rPr>
        <w:t xml:space="preserve"> </w:t>
      </w:r>
      <w:r w:rsidR="003F3F90">
        <w:rPr>
          <w:rFonts w:ascii="Bookman Old Style" w:hAnsi="Bookman Old Style"/>
          <w:sz w:val="28"/>
          <w:szCs w:val="28"/>
          <w:lang w:val="el-GR"/>
        </w:rPr>
        <w:t xml:space="preserve">της </w:t>
      </w:r>
      <w:r>
        <w:rPr>
          <w:rFonts w:ascii="Bookman Old Style" w:hAnsi="Bookman Old Style"/>
          <w:sz w:val="28"/>
          <w:szCs w:val="28"/>
          <w:lang w:val="el-GR"/>
        </w:rPr>
        <w:t>επικοινωνίας</w:t>
      </w:r>
      <w:r w:rsidR="00773BC0">
        <w:rPr>
          <w:rFonts w:ascii="Bookman Old Style" w:hAnsi="Bookman Old Style"/>
          <w:sz w:val="28"/>
          <w:szCs w:val="28"/>
          <w:lang w:val="el-GR"/>
        </w:rPr>
        <w:t xml:space="preserve">. </w:t>
      </w:r>
      <w:r w:rsidR="003F3F90">
        <w:rPr>
          <w:rFonts w:ascii="Bookman Old Style" w:hAnsi="Bookman Old Style"/>
          <w:sz w:val="28"/>
          <w:szCs w:val="28"/>
          <w:lang w:val="el-GR"/>
        </w:rPr>
        <w:t xml:space="preserve">Το ίδιο ζήτημα </w:t>
      </w:r>
      <w:r w:rsidR="00D7603A">
        <w:rPr>
          <w:rFonts w:ascii="Bookman Old Style" w:hAnsi="Bookman Old Style"/>
          <w:sz w:val="28"/>
          <w:szCs w:val="28"/>
          <w:lang w:val="el-GR"/>
        </w:rPr>
        <w:t xml:space="preserve">τίθεται και με την πρόνοια του τροποποιητικού </w:t>
      </w:r>
      <w:r w:rsidR="00D7603A" w:rsidRPr="001824FC">
        <w:rPr>
          <w:rFonts w:ascii="Bookman Old Style" w:hAnsi="Bookman Old Style"/>
          <w:b/>
          <w:bCs/>
          <w:i/>
          <w:iCs/>
          <w:sz w:val="28"/>
          <w:szCs w:val="28"/>
          <w:lang w:val="el-GR"/>
        </w:rPr>
        <w:t>Ν.13(Ι)/2020</w:t>
      </w:r>
      <w:r w:rsidR="00D7603A">
        <w:rPr>
          <w:rFonts w:ascii="Bookman Old Style" w:hAnsi="Bookman Old Style"/>
          <w:b/>
          <w:bCs/>
          <w:i/>
          <w:iCs/>
          <w:sz w:val="28"/>
          <w:szCs w:val="28"/>
          <w:lang w:val="el-GR"/>
        </w:rPr>
        <w:t xml:space="preserve"> </w:t>
      </w:r>
      <w:r w:rsidR="00D7603A">
        <w:rPr>
          <w:rFonts w:ascii="Bookman Old Style" w:hAnsi="Bookman Old Style"/>
          <w:sz w:val="28"/>
          <w:szCs w:val="28"/>
          <w:lang w:val="el-GR"/>
        </w:rPr>
        <w:t>με τ</w:t>
      </w:r>
      <w:r w:rsidR="005A4806">
        <w:rPr>
          <w:rFonts w:ascii="Bookman Old Style" w:hAnsi="Bookman Old Style"/>
          <w:sz w:val="28"/>
          <w:szCs w:val="28"/>
          <w:lang w:val="el-GR"/>
        </w:rPr>
        <w:t>ην</w:t>
      </w:r>
      <w:r w:rsidR="00D7603A">
        <w:rPr>
          <w:rFonts w:ascii="Bookman Old Style" w:hAnsi="Bookman Old Style"/>
          <w:sz w:val="28"/>
          <w:szCs w:val="28"/>
          <w:lang w:val="el-GR"/>
        </w:rPr>
        <w:t xml:space="preserve"> οποί</w:t>
      </w:r>
      <w:r w:rsidR="005A4806">
        <w:rPr>
          <w:rFonts w:ascii="Bookman Old Style" w:hAnsi="Bookman Old Style"/>
          <w:sz w:val="28"/>
          <w:szCs w:val="28"/>
          <w:lang w:val="el-GR"/>
        </w:rPr>
        <w:t>α</w:t>
      </w:r>
      <w:r w:rsidR="00D7603A">
        <w:rPr>
          <w:rFonts w:ascii="Bookman Old Style" w:hAnsi="Bookman Old Style"/>
          <w:sz w:val="28"/>
          <w:szCs w:val="28"/>
          <w:lang w:val="el-GR"/>
        </w:rPr>
        <w:t xml:space="preserve"> προστέθηκαν και άλλες προϋποθέσεις</w:t>
      </w:r>
      <w:r w:rsidR="00E0180D">
        <w:rPr>
          <w:rFonts w:ascii="Bookman Old Style" w:hAnsi="Bookman Old Style"/>
          <w:sz w:val="28"/>
          <w:szCs w:val="28"/>
          <w:lang w:val="el-GR"/>
        </w:rPr>
        <w:t xml:space="preserve">, ήτοι η </w:t>
      </w:r>
      <w:r>
        <w:rPr>
          <w:rFonts w:ascii="Bookman Old Style" w:hAnsi="Bookman Old Style"/>
          <w:sz w:val="28"/>
          <w:szCs w:val="28"/>
          <w:lang w:val="el-GR"/>
        </w:rPr>
        <w:t xml:space="preserve">αποτυχία των ανακριτικών διαδικασιών ή </w:t>
      </w:r>
      <w:r w:rsidR="00773BC0">
        <w:rPr>
          <w:rFonts w:ascii="Bookman Old Style" w:hAnsi="Bookman Old Style"/>
          <w:sz w:val="28"/>
          <w:szCs w:val="28"/>
          <w:lang w:val="el-GR"/>
        </w:rPr>
        <w:t>το επείγον</w:t>
      </w:r>
      <w:r w:rsidR="00E0180D">
        <w:rPr>
          <w:rFonts w:ascii="Bookman Old Style" w:hAnsi="Bookman Old Style"/>
          <w:sz w:val="28"/>
          <w:szCs w:val="28"/>
          <w:lang w:val="el-GR"/>
        </w:rPr>
        <w:t>,</w:t>
      </w:r>
      <w:r w:rsidR="00773BC0">
        <w:rPr>
          <w:rFonts w:ascii="Bookman Old Style" w:hAnsi="Bookman Old Style"/>
          <w:sz w:val="28"/>
          <w:szCs w:val="28"/>
          <w:lang w:val="el-GR"/>
        </w:rPr>
        <w:t xml:space="preserve"> </w:t>
      </w:r>
      <w:r>
        <w:rPr>
          <w:rFonts w:ascii="Bookman Old Style" w:hAnsi="Bookman Old Style"/>
          <w:sz w:val="28"/>
          <w:szCs w:val="28"/>
          <w:lang w:val="el-GR"/>
        </w:rPr>
        <w:t>που να δικαιολογ</w:t>
      </w:r>
      <w:r w:rsidR="00E0180D">
        <w:rPr>
          <w:rFonts w:ascii="Bookman Old Style" w:hAnsi="Bookman Old Style"/>
          <w:sz w:val="28"/>
          <w:szCs w:val="28"/>
          <w:lang w:val="el-GR"/>
        </w:rPr>
        <w:t>ούν</w:t>
      </w:r>
      <w:r>
        <w:rPr>
          <w:rFonts w:ascii="Bookman Old Style" w:hAnsi="Bookman Old Style"/>
          <w:sz w:val="28"/>
          <w:szCs w:val="28"/>
          <w:lang w:val="el-GR"/>
        </w:rPr>
        <w:t xml:space="preserve"> την έκδοση διατάγματος πρόσβασης</w:t>
      </w:r>
      <w:r w:rsidR="00332BF5">
        <w:rPr>
          <w:rFonts w:ascii="Bookman Old Style" w:hAnsi="Bookman Old Style"/>
          <w:sz w:val="28"/>
          <w:szCs w:val="28"/>
          <w:lang w:val="el-GR"/>
        </w:rPr>
        <w:t xml:space="preserve"> και </w:t>
      </w:r>
      <w:r w:rsidR="00E0180D">
        <w:rPr>
          <w:rFonts w:ascii="Bookman Old Style" w:hAnsi="Bookman Old Style"/>
          <w:sz w:val="28"/>
          <w:szCs w:val="28"/>
          <w:lang w:val="el-GR"/>
        </w:rPr>
        <w:t xml:space="preserve">αναφορικά με </w:t>
      </w:r>
      <w:r w:rsidR="00773BC0">
        <w:rPr>
          <w:rFonts w:ascii="Bookman Old Style" w:hAnsi="Bookman Old Style"/>
          <w:sz w:val="28"/>
          <w:szCs w:val="28"/>
          <w:lang w:val="el-GR"/>
        </w:rPr>
        <w:t xml:space="preserve">την ίδια τη </w:t>
      </w:r>
      <w:r w:rsidR="00332BF5">
        <w:rPr>
          <w:rFonts w:ascii="Bookman Old Style" w:hAnsi="Bookman Old Style"/>
          <w:sz w:val="28"/>
          <w:szCs w:val="28"/>
          <w:lang w:val="el-GR"/>
        </w:rPr>
        <w:t>φύση της επικοινωνίας</w:t>
      </w:r>
      <w:r w:rsidR="00DF6026">
        <w:rPr>
          <w:rFonts w:ascii="Bookman Old Style" w:hAnsi="Bookman Old Style"/>
          <w:sz w:val="28"/>
          <w:szCs w:val="28"/>
          <w:lang w:val="el-GR"/>
        </w:rPr>
        <w:t xml:space="preserve">, ήτοι </w:t>
      </w:r>
      <w:r w:rsidR="00E0180D">
        <w:rPr>
          <w:rFonts w:ascii="Bookman Old Style" w:hAnsi="Bookman Old Style"/>
          <w:sz w:val="28"/>
          <w:szCs w:val="28"/>
          <w:lang w:val="el-GR"/>
        </w:rPr>
        <w:t xml:space="preserve">κατά πόσο αυτή είναι </w:t>
      </w:r>
      <w:r w:rsidR="00DF6026">
        <w:rPr>
          <w:rFonts w:ascii="Bookman Old Style" w:hAnsi="Bookman Old Style"/>
          <w:sz w:val="28"/>
          <w:szCs w:val="28"/>
          <w:lang w:val="el-GR"/>
        </w:rPr>
        <w:t>τηλεφωνική ή σε γραπτή μορφή</w:t>
      </w:r>
      <w:r>
        <w:rPr>
          <w:rFonts w:ascii="Bookman Old Style" w:hAnsi="Bookman Old Style"/>
          <w:sz w:val="28"/>
          <w:szCs w:val="28"/>
          <w:lang w:val="el-GR"/>
        </w:rPr>
        <w:t xml:space="preserve">. </w:t>
      </w:r>
    </w:p>
    <w:p w14:paraId="7246D5AD" w14:textId="3A022614" w:rsidR="003B4296" w:rsidRDefault="005F062A"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5018CC">
        <w:rPr>
          <w:rFonts w:ascii="Bookman Old Style" w:hAnsi="Bookman Old Style"/>
          <w:sz w:val="28"/>
          <w:szCs w:val="28"/>
          <w:lang w:val="el-GR"/>
        </w:rPr>
        <w:t>Ως εκ τούτου και χ</w:t>
      </w:r>
      <w:r>
        <w:rPr>
          <w:rFonts w:ascii="Bookman Old Style" w:hAnsi="Bookman Old Style"/>
          <w:sz w:val="28"/>
          <w:szCs w:val="28"/>
          <w:lang w:val="el-GR"/>
        </w:rPr>
        <w:t xml:space="preserve">ωρίς να επεκταθώ περαιτέρω, θεωρώ ότι </w:t>
      </w:r>
      <w:r w:rsidR="003B4296">
        <w:rPr>
          <w:rFonts w:ascii="Bookman Old Style" w:hAnsi="Bookman Old Style"/>
          <w:sz w:val="28"/>
          <w:szCs w:val="28"/>
          <w:lang w:val="el-GR"/>
        </w:rPr>
        <w:t xml:space="preserve">αποκαλύπτεται εκ πρώτης όψεως συζητήσιμη υπόθεση αναφορικά με </w:t>
      </w:r>
      <w:r w:rsidR="003B4296">
        <w:rPr>
          <w:rFonts w:ascii="Bookman Old Style" w:hAnsi="Bookman Old Style"/>
          <w:sz w:val="28"/>
          <w:szCs w:val="28"/>
          <w:lang w:val="el-GR"/>
        </w:rPr>
        <w:lastRenderedPageBreak/>
        <w:t>το σκέλος του διατάγματος το οποίο καλύπτει τη χρονική περίοδο των ετών 2011 μέχρι και τις 30.12.2015</w:t>
      </w:r>
      <w:r w:rsidR="005018CC">
        <w:rPr>
          <w:rFonts w:ascii="Bookman Old Style" w:hAnsi="Bookman Old Style"/>
          <w:sz w:val="28"/>
          <w:szCs w:val="28"/>
          <w:lang w:val="el-GR"/>
        </w:rPr>
        <w:t xml:space="preserve">. </w:t>
      </w:r>
    </w:p>
    <w:p w14:paraId="05C287DF" w14:textId="7072399D" w:rsidR="00C653D7" w:rsidRDefault="00CB3915"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Η ίδια διαπίστωση ισχύει και για το ότι η μαρτυρία η οποία τέθηκε ενώπιον του κατώτερου Δικαστηρίου περιλάμβανε επικοινωνία η οποία φαίνεται να είχε εξασφαλιστεί δυνάμει άλλων διαταγμάτων πρόσβασης περιεχομένου </w:t>
      </w:r>
      <w:r w:rsidR="00B41B36">
        <w:rPr>
          <w:rFonts w:ascii="Bookman Old Style" w:hAnsi="Bookman Old Style"/>
          <w:sz w:val="28"/>
          <w:szCs w:val="28"/>
          <w:lang w:val="el-GR"/>
        </w:rPr>
        <w:t>σε ιδιωτική επικοινωνία</w:t>
      </w:r>
      <w:r w:rsidR="00F77CA5">
        <w:rPr>
          <w:rFonts w:ascii="Bookman Old Style" w:hAnsi="Bookman Old Style"/>
          <w:sz w:val="28"/>
          <w:szCs w:val="28"/>
          <w:lang w:val="el-GR"/>
        </w:rPr>
        <w:t>,</w:t>
      </w:r>
      <w:r w:rsidR="00B41B36">
        <w:rPr>
          <w:rFonts w:ascii="Bookman Old Style" w:hAnsi="Bookman Old Style"/>
          <w:sz w:val="28"/>
          <w:szCs w:val="28"/>
          <w:lang w:val="el-GR"/>
        </w:rPr>
        <w:t xml:space="preserve"> η οποία αφορούσε </w:t>
      </w:r>
      <w:r w:rsidR="00F77CA5">
        <w:rPr>
          <w:rFonts w:ascii="Bookman Old Style" w:hAnsi="Bookman Old Style"/>
          <w:sz w:val="28"/>
          <w:szCs w:val="28"/>
          <w:lang w:val="el-GR"/>
        </w:rPr>
        <w:t xml:space="preserve">και πάλι </w:t>
      </w:r>
      <w:r w:rsidR="00B41B36">
        <w:rPr>
          <w:rFonts w:ascii="Bookman Old Style" w:hAnsi="Bookman Old Style"/>
          <w:sz w:val="28"/>
          <w:szCs w:val="28"/>
          <w:lang w:val="el-GR"/>
        </w:rPr>
        <w:t xml:space="preserve">τη χρονική περίοδο </w:t>
      </w:r>
      <w:r w:rsidR="00F77CA5">
        <w:rPr>
          <w:rFonts w:ascii="Bookman Old Style" w:hAnsi="Bookman Old Style"/>
          <w:sz w:val="28"/>
          <w:szCs w:val="28"/>
          <w:lang w:val="el-GR"/>
        </w:rPr>
        <w:t xml:space="preserve">πριν </w:t>
      </w:r>
      <w:r w:rsidR="00B41B36">
        <w:rPr>
          <w:rFonts w:ascii="Bookman Old Style" w:hAnsi="Bookman Old Style"/>
          <w:sz w:val="28"/>
          <w:szCs w:val="28"/>
          <w:lang w:val="el-GR"/>
        </w:rPr>
        <w:t xml:space="preserve">τις 30.12.2015, </w:t>
      </w:r>
      <w:r w:rsidR="008A52AB">
        <w:rPr>
          <w:rFonts w:ascii="Bookman Old Style" w:hAnsi="Bookman Old Style"/>
          <w:sz w:val="28"/>
          <w:szCs w:val="28"/>
          <w:lang w:val="el-GR"/>
        </w:rPr>
        <w:t xml:space="preserve">δηλαδή περίοδο </w:t>
      </w:r>
      <w:r w:rsidR="00B41B36">
        <w:rPr>
          <w:rFonts w:ascii="Bookman Old Style" w:hAnsi="Bookman Old Style"/>
          <w:sz w:val="28"/>
          <w:szCs w:val="28"/>
          <w:lang w:val="el-GR"/>
        </w:rPr>
        <w:t xml:space="preserve">κατά την οποία δεν ήταν σε ισχύ ο </w:t>
      </w:r>
      <w:r w:rsidR="00B41B36" w:rsidRPr="00E26A7E">
        <w:rPr>
          <w:rFonts w:ascii="Bookman Old Style" w:hAnsi="Bookman Old Style"/>
          <w:b/>
          <w:bCs/>
          <w:i/>
          <w:iCs/>
          <w:sz w:val="28"/>
          <w:szCs w:val="28"/>
          <w:lang w:val="el-GR"/>
        </w:rPr>
        <w:t>Ν</w:t>
      </w:r>
      <w:r w:rsidR="00E26A7E" w:rsidRPr="00E26A7E">
        <w:rPr>
          <w:rFonts w:ascii="Bookman Old Style" w:hAnsi="Bookman Old Style"/>
          <w:b/>
          <w:bCs/>
          <w:i/>
          <w:iCs/>
          <w:sz w:val="28"/>
          <w:szCs w:val="28"/>
          <w:lang w:val="el-GR"/>
        </w:rPr>
        <w:t>.216(Ι)/</w:t>
      </w:r>
      <w:r w:rsidR="00F12057">
        <w:rPr>
          <w:rFonts w:ascii="Bookman Old Style" w:hAnsi="Bookman Old Style"/>
          <w:b/>
          <w:bCs/>
          <w:i/>
          <w:iCs/>
          <w:sz w:val="28"/>
          <w:szCs w:val="28"/>
          <w:lang w:val="el-GR"/>
        </w:rPr>
        <w:t>20</w:t>
      </w:r>
      <w:r w:rsidR="00E26A7E" w:rsidRPr="00E26A7E">
        <w:rPr>
          <w:rFonts w:ascii="Bookman Old Style" w:hAnsi="Bookman Old Style"/>
          <w:b/>
          <w:bCs/>
          <w:i/>
          <w:iCs/>
          <w:sz w:val="28"/>
          <w:szCs w:val="28"/>
          <w:lang w:val="el-GR"/>
        </w:rPr>
        <w:t>15</w:t>
      </w:r>
      <w:r w:rsidR="00B41B36">
        <w:rPr>
          <w:rFonts w:ascii="Bookman Old Style" w:hAnsi="Bookman Old Style"/>
          <w:sz w:val="28"/>
          <w:szCs w:val="28"/>
          <w:lang w:val="el-GR"/>
        </w:rPr>
        <w:t xml:space="preserve">. </w:t>
      </w:r>
      <w:r w:rsidR="00AD71FD">
        <w:rPr>
          <w:rFonts w:ascii="Bookman Old Style" w:hAnsi="Bookman Old Style"/>
          <w:sz w:val="28"/>
          <w:szCs w:val="28"/>
          <w:lang w:val="el-GR"/>
        </w:rPr>
        <w:t xml:space="preserve">Από τη στιγμή που </w:t>
      </w:r>
      <w:r w:rsidR="00943965">
        <w:rPr>
          <w:rFonts w:ascii="Bookman Old Style" w:hAnsi="Bookman Old Style"/>
          <w:sz w:val="28"/>
          <w:szCs w:val="28"/>
          <w:lang w:val="el-GR"/>
        </w:rPr>
        <w:t xml:space="preserve">διαφαίνεται </w:t>
      </w:r>
      <w:r w:rsidR="00AD71FD">
        <w:rPr>
          <w:rFonts w:ascii="Bookman Old Style" w:hAnsi="Bookman Old Style"/>
          <w:sz w:val="28"/>
          <w:szCs w:val="28"/>
          <w:lang w:val="el-GR"/>
        </w:rPr>
        <w:t xml:space="preserve">ότι η μαρτυρία η οποία λήφθηκε υπόψιν από το κατώτερο Δικαστήριο για να προχωρήσει στην έκδοση του διατάγματος περιλάμβανε μαρτυρία </w:t>
      </w:r>
      <w:r w:rsidR="008A52AB">
        <w:rPr>
          <w:rFonts w:ascii="Bookman Old Style" w:hAnsi="Bookman Old Style"/>
          <w:sz w:val="28"/>
          <w:szCs w:val="28"/>
          <w:lang w:val="el-GR"/>
        </w:rPr>
        <w:t xml:space="preserve">που προέκυψε από πρόσβαση σε </w:t>
      </w:r>
      <w:r w:rsidR="00943965">
        <w:rPr>
          <w:rFonts w:ascii="Bookman Old Style" w:hAnsi="Bookman Old Style"/>
          <w:sz w:val="28"/>
          <w:szCs w:val="28"/>
          <w:lang w:val="el-GR"/>
        </w:rPr>
        <w:t xml:space="preserve">χρόνο κατά τον οποίον δεν </w:t>
      </w:r>
      <w:r w:rsidR="001B5F19">
        <w:rPr>
          <w:rFonts w:ascii="Bookman Old Style" w:hAnsi="Bookman Old Style"/>
          <w:sz w:val="28"/>
          <w:szCs w:val="28"/>
          <w:lang w:val="el-GR"/>
        </w:rPr>
        <w:t xml:space="preserve">υπήρχε </w:t>
      </w:r>
      <w:r w:rsidR="0046149A">
        <w:rPr>
          <w:rFonts w:ascii="Bookman Old Style" w:hAnsi="Bookman Old Style"/>
          <w:sz w:val="28"/>
          <w:szCs w:val="28"/>
          <w:lang w:val="el-GR"/>
        </w:rPr>
        <w:t>ν</w:t>
      </w:r>
      <w:r w:rsidR="00943965">
        <w:rPr>
          <w:rFonts w:ascii="Bookman Old Style" w:hAnsi="Bookman Old Style"/>
          <w:sz w:val="28"/>
          <w:szCs w:val="28"/>
          <w:lang w:val="el-GR"/>
        </w:rPr>
        <w:t>όμος που επέτρεπε την πρόσβαση</w:t>
      </w:r>
      <w:r w:rsidR="00657C0A">
        <w:rPr>
          <w:rFonts w:ascii="Bookman Old Style" w:hAnsi="Bookman Old Style"/>
          <w:sz w:val="28"/>
          <w:szCs w:val="28"/>
          <w:lang w:val="el-GR"/>
        </w:rPr>
        <w:t xml:space="preserve"> στο περιεχόμενο ιδιωτικής επικοινωνίας</w:t>
      </w:r>
      <w:r w:rsidR="00C653D7">
        <w:rPr>
          <w:rFonts w:ascii="Bookman Old Style" w:hAnsi="Bookman Old Style"/>
          <w:sz w:val="28"/>
          <w:szCs w:val="28"/>
          <w:lang w:val="el-GR"/>
        </w:rPr>
        <w:t xml:space="preserve">, τότε </w:t>
      </w:r>
      <w:r w:rsidR="007B2EF2">
        <w:rPr>
          <w:rFonts w:ascii="Bookman Old Style" w:hAnsi="Bookman Old Style"/>
          <w:sz w:val="28"/>
          <w:szCs w:val="28"/>
          <w:lang w:val="el-GR"/>
        </w:rPr>
        <w:t xml:space="preserve">και πάλι θεωρώ ότι </w:t>
      </w:r>
      <w:r w:rsidR="00C653D7">
        <w:rPr>
          <w:rFonts w:ascii="Bookman Old Style" w:hAnsi="Bookman Old Style"/>
          <w:sz w:val="28"/>
          <w:szCs w:val="28"/>
          <w:lang w:val="el-GR"/>
        </w:rPr>
        <w:t xml:space="preserve">εγείρεται συζητήσιμη υπόθεση. </w:t>
      </w:r>
    </w:p>
    <w:p w14:paraId="586C97B0" w14:textId="50B4FAAB" w:rsidR="00657C0A" w:rsidRDefault="00C653D7"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4447D9">
        <w:rPr>
          <w:rFonts w:ascii="Bookman Old Style" w:hAnsi="Bookman Old Style"/>
          <w:sz w:val="28"/>
          <w:szCs w:val="28"/>
          <w:lang w:val="el-GR"/>
        </w:rPr>
        <w:t xml:space="preserve">Στον όρκο που συνοδεύει την αίτηση αναφέρεται ότι η Αστυνομία διερευνά αδικήματα διαφθοράς κατά παράβαση των </w:t>
      </w:r>
      <w:r w:rsidR="004447D9" w:rsidRPr="004447D9">
        <w:rPr>
          <w:rFonts w:ascii="Bookman Old Style" w:hAnsi="Bookman Old Style"/>
          <w:b/>
          <w:bCs/>
          <w:i/>
          <w:iCs/>
          <w:sz w:val="28"/>
          <w:szCs w:val="28"/>
          <w:lang w:val="el-GR"/>
        </w:rPr>
        <w:t xml:space="preserve">άρθρων 3(α) </w:t>
      </w:r>
      <w:r w:rsidR="004447D9" w:rsidRPr="00B13608">
        <w:rPr>
          <w:rFonts w:ascii="Bookman Old Style" w:hAnsi="Bookman Old Style"/>
          <w:sz w:val="28"/>
          <w:szCs w:val="28"/>
          <w:lang w:val="el-GR"/>
        </w:rPr>
        <w:t xml:space="preserve">και </w:t>
      </w:r>
      <w:r w:rsidR="004447D9" w:rsidRPr="004447D9">
        <w:rPr>
          <w:rFonts w:ascii="Bookman Old Style" w:hAnsi="Bookman Old Style"/>
          <w:b/>
          <w:bCs/>
          <w:i/>
          <w:iCs/>
          <w:sz w:val="28"/>
          <w:szCs w:val="28"/>
          <w:lang w:val="el-GR"/>
        </w:rPr>
        <w:t xml:space="preserve">(β) </w:t>
      </w:r>
      <w:r w:rsidR="004447D9" w:rsidRPr="004447D9">
        <w:rPr>
          <w:rFonts w:ascii="Bookman Old Style" w:hAnsi="Bookman Old Style"/>
          <w:sz w:val="28"/>
          <w:szCs w:val="28"/>
          <w:lang w:val="el-GR"/>
        </w:rPr>
        <w:t>του</w:t>
      </w:r>
      <w:r w:rsidR="004447D9" w:rsidRPr="004447D9">
        <w:rPr>
          <w:rFonts w:ascii="Bookman Old Style" w:hAnsi="Bookman Old Style"/>
          <w:b/>
          <w:bCs/>
          <w:i/>
          <w:iCs/>
          <w:sz w:val="28"/>
          <w:szCs w:val="28"/>
          <w:lang w:val="el-GR"/>
        </w:rPr>
        <w:t xml:space="preserve"> </w:t>
      </w:r>
      <w:r w:rsidR="00D745F9">
        <w:rPr>
          <w:rFonts w:ascii="Bookman Old Style" w:hAnsi="Bookman Old Style"/>
          <w:b/>
          <w:bCs/>
          <w:i/>
          <w:iCs/>
          <w:sz w:val="28"/>
          <w:szCs w:val="28"/>
          <w:lang w:val="el-GR"/>
        </w:rPr>
        <w:t xml:space="preserve">περί Πρόληψης Διαφθοράς Νόμου, </w:t>
      </w:r>
      <w:r w:rsidR="004447D9" w:rsidRPr="004447D9">
        <w:rPr>
          <w:rFonts w:ascii="Bookman Old Style" w:hAnsi="Bookman Old Style"/>
          <w:b/>
          <w:bCs/>
          <w:i/>
          <w:iCs/>
          <w:sz w:val="28"/>
          <w:szCs w:val="28"/>
          <w:lang w:val="el-GR"/>
        </w:rPr>
        <w:t>Κεφ. 161</w:t>
      </w:r>
      <w:r w:rsidR="004447D9">
        <w:rPr>
          <w:rFonts w:ascii="Bookman Old Style" w:hAnsi="Bookman Old Style"/>
          <w:sz w:val="28"/>
          <w:szCs w:val="28"/>
          <w:lang w:val="el-GR"/>
        </w:rPr>
        <w:t xml:space="preserve">, </w:t>
      </w:r>
      <w:r w:rsidR="004447D9" w:rsidRPr="00BE4488">
        <w:rPr>
          <w:rFonts w:ascii="Bookman Old Style" w:hAnsi="Bookman Old Style"/>
          <w:sz w:val="28"/>
          <w:szCs w:val="28"/>
          <w:lang w:val="el-GR"/>
        </w:rPr>
        <w:t>των</w:t>
      </w:r>
      <w:r w:rsidR="004447D9" w:rsidRPr="004447D9">
        <w:rPr>
          <w:rFonts w:ascii="Bookman Old Style" w:hAnsi="Bookman Old Style"/>
          <w:b/>
          <w:bCs/>
          <w:i/>
          <w:iCs/>
          <w:sz w:val="28"/>
          <w:szCs w:val="28"/>
          <w:lang w:val="el-GR"/>
        </w:rPr>
        <w:t xml:space="preserve"> άρθρων 4(2), (3), (12) </w:t>
      </w:r>
      <w:r w:rsidR="004447D9" w:rsidRPr="00B13608">
        <w:rPr>
          <w:rFonts w:ascii="Bookman Old Style" w:hAnsi="Bookman Old Style"/>
          <w:sz w:val="28"/>
          <w:szCs w:val="28"/>
          <w:lang w:val="el-GR"/>
        </w:rPr>
        <w:t xml:space="preserve">και </w:t>
      </w:r>
      <w:r w:rsidR="004447D9" w:rsidRPr="004447D9">
        <w:rPr>
          <w:rFonts w:ascii="Bookman Old Style" w:hAnsi="Bookman Old Style"/>
          <w:b/>
          <w:bCs/>
          <w:i/>
          <w:iCs/>
          <w:sz w:val="28"/>
          <w:szCs w:val="28"/>
          <w:lang w:val="el-GR"/>
        </w:rPr>
        <w:t>(13)</w:t>
      </w:r>
      <w:r w:rsidR="004447D9">
        <w:rPr>
          <w:rFonts w:ascii="Bookman Old Style" w:hAnsi="Bookman Old Style"/>
          <w:sz w:val="28"/>
          <w:szCs w:val="28"/>
          <w:lang w:val="el-GR"/>
        </w:rPr>
        <w:t xml:space="preserve"> του </w:t>
      </w:r>
      <w:r w:rsidR="00D745F9">
        <w:rPr>
          <w:rFonts w:ascii="Bookman Old Style" w:hAnsi="Bookman Old Style"/>
          <w:b/>
          <w:bCs/>
          <w:i/>
          <w:iCs/>
          <w:sz w:val="28"/>
          <w:szCs w:val="28"/>
          <w:lang w:val="el-GR"/>
        </w:rPr>
        <w:t xml:space="preserve">περί της </w:t>
      </w:r>
      <w:r w:rsidR="004447D9" w:rsidRPr="004447D9">
        <w:rPr>
          <w:rFonts w:ascii="Bookman Old Style" w:hAnsi="Bookman Old Style"/>
          <w:b/>
          <w:bCs/>
          <w:i/>
          <w:iCs/>
          <w:sz w:val="28"/>
          <w:szCs w:val="28"/>
          <w:lang w:val="el-GR"/>
        </w:rPr>
        <w:t>Σύμβαση</w:t>
      </w:r>
      <w:r w:rsidR="00D745F9">
        <w:rPr>
          <w:rFonts w:ascii="Bookman Old Style" w:hAnsi="Bookman Old Style"/>
          <w:b/>
          <w:bCs/>
          <w:i/>
          <w:iCs/>
          <w:sz w:val="28"/>
          <w:szCs w:val="28"/>
          <w:lang w:val="el-GR"/>
        </w:rPr>
        <w:t>ς</w:t>
      </w:r>
      <w:r w:rsidR="004447D9" w:rsidRPr="004447D9">
        <w:rPr>
          <w:rFonts w:ascii="Bookman Old Style" w:hAnsi="Bookman Old Style"/>
          <w:b/>
          <w:bCs/>
          <w:i/>
          <w:iCs/>
          <w:sz w:val="28"/>
          <w:szCs w:val="28"/>
          <w:lang w:val="el-GR"/>
        </w:rPr>
        <w:t xml:space="preserve"> του Συμβουλίου της Ευρώπης για την </w:t>
      </w:r>
      <w:r w:rsidR="00D745F9">
        <w:rPr>
          <w:rFonts w:ascii="Bookman Old Style" w:hAnsi="Bookman Old Style"/>
          <w:b/>
          <w:bCs/>
          <w:i/>
          <w:iCs/>
          <w:sz w:val="28"/>
          <w:szCs w:val="28"/>
          <w:lang w:val="el-GR"/>
        </w:rPr>
        <w:t>Π</w:t>
      </w:r>
      <w:r w:rsidR="004447D9" w:rsidRPr="004447D9">
        <w:rPr>
          <w:rFonts w:ascii="Bookman Old Style" w:hAnsi="Bookman Old Style"/>
          <w:b/>
          <w:bCs/>
          <w:i/>
          <w:iCs/>
          <w:sz w:val="28"/>
          <w:szCs w:val="28"/>
          <w:lang w:val="el-GR"/>
        </w:rPr>
        <w:t xml:space="preserve">οινικοποίηση της Διαφθοράς </w:t>
      </w:r>
      <w:r w:rsidR="00D745F9">
        <w:rPr>
          <w:rFonts w:ascii="Bookman Old Style" w:hAnsi="Bookman Old Style"/>
          <w:b/>
          <w:bCs/>
          <w:i/>
          <w:iCs/>
          <w:sz w:val="28"/>
          <w:szCs w:val="28"/>
          <w:lang w:val="el-GR"/>
        </w:rPr>
        <w:t xml:space="preserve">(Κυρωτικού) Νόμου, </w:t>
      </w:r>
      <w:r w:rsidR="004447D9" w:rsidRPr="004447D9">
        <w:rPr>
          <w:rFonts w:ascii="Bookman Old Style" w:hAnsi="Bookman Old Style"/>
          <w:b/>
          <w:bCs/>
          <w:i/>
          <w:iCs/>
          <w:sz w:val="28"/>
          <w:szCs w:val="28"/>
          <w:lang w:val="el-GR"/>
        </w:rPr>
        <w:t>Ν.23(ΙΙΙ)/</w:t>
      </w:r>
      <w:r w:rsidR="00F12057">
        <w:rPr>
          <w:rFonts w:ascii="Bookman Old Style" w:hAnsi="Bookman Old Style"/>
          <w:b/>
          <w:bCs/>
          <w:i/>
          <w:iCs/>
          <w:sz w:val="28"/>
          <w:szCs w:val="28"/>
          <w:lang w:val="el-GR"/>
        </w:rPr>
        <w:t>20</w:t>
      </w:r>
      <w:r w:rsidR="004447D9" w:rsidRPr="004447D9">
        <w:rPr>
          <w:rFonts w:ascii="Bookman Old Style" w:hAnsi="Bookman Old Style"/>
          <w:b/>
          <w:bCs/>
          <w:i/>
          <w:iCs/>
          <w:sz w:val="28"/>
          <w:szCs w:val="28"/>
          <w:lang w:val="el-GR"/>
        </w:rPr>
        <w:t>00</w:t>
      </w:r>
      <w:r w:rsidR="004447D9">
        <w:rPr>
          <w:rFonts w:ascii="Bookman Old Style" w:hAnsi="Bookman Old Style"/>
          <w:sz w:val="28"/>
          <w:szCs w:val="28"/>
          <w:lang w:val="el-GR"/>
        </w:rPr>
        <w:t xml:space="preserve"> και των </w:t>
      </w:r>
      <w:r w:rsidR="004447D9" w:rsidRPr="004447D9">
        <w:rPr>
          <w:rFonts w:ascii="Bookman Old Style" w:hAnsi="Bookman Old Style"/>
          <w:b/>
          <w:bCs/>
          <w:i/>
          <w:iCs/>
          <w:sz w:val="28"/>
          <w:szCs w:val="28"/>
          <w:lang w:val="el-GR"/>
        </w:rPr>
        <w:t xml:space="preserve">άρθρων 100(α) </w:t>
      </w:r>
      <w:r w:rsidR="004447D9" w:rsidRPr="001A6F0B">
        <w:rPr>
          <w:rFonts w:ascii="Bookman Old Style" w:hAnsi="Bookman Old Style"/>
          <w:sz w:val="28"/>
          <w:szCs w:val="28"/>
          <w:lang w:val="el-GR"/>
        </w:rPr>
        <w:t>και</w:t>
      </w:r>
      <w:r w:rsidR="004447D9" w:rsidRPr="004447D9">
        <w:rPr>
          <w:rFonts w:ascii="Bookman Old Style" w:hAnsi="Bookman Old Style"/>
          <w:b/>
          <w:bCs/>
          <w:i/>
          <w:iCs/>
          <w:sz w:val="28"/>
          <w:szCs w:val="28"/>
          <w:lang w:val="el-GR"/>
        </w:rPr>
        <w:t xml:space="preserve"> (β)</w:t>
      </w:r>
      <w:r w:rsidR="004447D9">
        <w:rPr>
          <w:rFonts w:ascii="Bookman Old Style" w:hAnsi="Bookman Old Style"/>
          <w:sz w:val="28"/>
          <w:szCs w:val="28"/>
          <w:lang w:val="el-GR"/>
        </w:rPr>
        <w:t xml:space="preserve"> του </w:t>
      </w:r>
      <w:r w:rsidR="004447D9" w:rsidRPr="004447D9">
        <w:rPr>
          <w:rFonts w:ascii="Bookman Old Style" w:hAnsi="Bookman Old Style"/>
          <w:b/>
          <w:bCs/>
          <w:i/>
          <w:iCs/>
          <w:sz w:val="28"/>
          <w:szCs w:val="28"/>
          <w:lang w:val="el-GR"/>
        </w:rPr>
        <w:t>Ποινικού Κώδικα, Κεφ. 154</w:t>
      </w:r>
      <w:r w:rsidR="00F72D9F">
        <w:rPr>
          <w:rFonts w:ascii="Bookman Old Style" w:hAnsi="Bookman Old Style"/>
          <w:sz w:val="28"/>
          <w:szCs w:val="28"/>
          <w:lang w:val="el-GR"/>
        </w:rPr>
        <w:t xml:space="preserve">, τα οποία φέρονται να διαπράχθηκαν μεταξύ των </w:t>
      </w:r>
      <w:r w:rsidR="00F72D9F">
        <w:rPr>
          <w:rFonts w:ascii="Bookman Old Style" w:hAnsi="Bookman Old Style"/>
          <w:sz w:val="28"/>
          <w:szCs w:val="28"/>
          <w:lang w:val="el-GR"/>
        </w:rPr>
        <w:lastRenderedPageBreak/>
        <w:t xml:space="preserve">ετών 2011-2021 στην Κυπριακή Δημοκρατία και που σχετίζονται με το Κυπριακό </w:t>
      </w:r>
      <w:r w:rsidR="008A52AB">
        <w:rPr>
          <w:rFonts w:ascii="Bookman Old Style" w:hAnsi="Bookman Old Style"/>
          <w:sz w:val="28"/>
          <w:szCs w:val="28"/>
          <w:lang w:val="el-GR"/>
        </w:rPr>
        <w:t>Ε</w:t>
      </w:r>
      <w:r w:rsidR="00F72D9F">
        <w:rPr>
          <w:rFonts w:ascii="Bookman Old Style" w:hAnsi="Bookman Old Style"/>
          <w:sz w:val="28"/>
          <w:szCs w:val="28"/>
          <w:lang w:val="el-GR"/>
        </w:rPr>
        <w:t xml:space="preserve">πενδυτικό </w:t>
      </w:r>
      <w:r w:rsidR="008A52AB">
        <w:rPr>
          <w:rFonts w:ascii="Bookman Old Style" w:hAnsi="Bookman Old Style"/>
          <w:sz w:val="28"/>
          <w:szCs w:val="28"/>
          <w:lang w:val="el-GR"/>
        </w:rPr>
        <w:t>Π</w:t>
      </w:r>
      <w:r w:rsidR="00F72D9F">
        <w:rPr>
          <w:rFonts w:ascii="Bookman Old Style" w:hAnsi="Bookman Old Style"/>
          <w:sz w:val="28"/>
          <w:szCs w:val="28"/>
          <w:lang w:val="el-GR"/>
        </w:rPr>
        <w:t>ρόγραμμα και τις κατ’</w:t>
      </w:r>
      <w:r w:rsidR="0056604A">
        <w:rPr>
          <w:rFonts w:ascii="Bookman Old Style" w:hAnsi="Bookman Old Style"/>
          <w:sz w:val="28"/>
          <w:szCs w:val="28"/>
          <w:lang w:val="el-GR"/>
        </w:rPr>
        <w:t xml:space="preserve"> </w:t>
      </w:r>
      <w:r w:rsidR="00F72D9F">
        <w:rPr>
          <w:rFonts w:ascii="Bookman Old Style" w:hAnsi="Bookman Old Style"/>
          <w:sz w:val="28"/>
          <w:szCs w:val="28"/>
          <w:lang w:val="el-GR"/>
        </w:rPr>
        <w:t xml:space="preserve">εξαίρεση πολιτογραφήσεις ξένων επενδυτών. </w:t>
      </w:r>
      <w:r w:rsidR="00AE62AD">
        <w:rPr>
          <w:rFonts w:ascii="Bookman Old Style" w:hAnsi="Bookman Old Style"/>
          <w:sz w:val="28"/>
          <w:szCs w:val="28"/>
          <w:lang w:val="el-GR"/>
        </w:rPr>
        <w:t xml:space="preserve">Στον όρκο αναφέρεται επίσης ότι εκτός από τα εν λόγω αδικήματα, στα πλαίσια της ίδιας υπόθεσης διερευνώνται ακόμα 22 αδικήματα τα οποία καταγράφονται. </w:t>
      </w:r>
      <w:r w:rsidR="0056604A">
        <w:rPr>
          <w:rFonts w:ascii="Bookman Old Style" w:hAnsi="Bookman Old Style"/>
          <w:sz w:val="28"/>
          <w:szCs w:val="28"/>
          <w:lang w:val="el-GR"/>
        </w:rPr>
        <w:t xml:space="preserve">Σύμφωνα πάντοτε με τον όρκο, στα πλαίσια των ερευνών της Αστυνομίας, </w:t>
      </w:r>
      <w:r w:rsidR="00B150DB">
        <w:rPr>
          <w:rFonts w:ascii="Bookman Old Style" w:hAnsi="Bookman Old Style"/>
          <w:sz w:val="28"/>
          <w:szCs w:val="28"/>
          <w:lang w:val="el-GR"/>
        </w:rPr>
        <w:t xml:space="preserve">εκδόθηκαν εντάλματα έρευνας σε σχέση με υποστατικά των Αιτητών, δυνάμει των οποίων παραλήφθηκαν τεκμήρια τα οποία και κατακρατούνται από την Αστυνομία δυνάμει σχετικών δικαστικών διαταγμάτων. Τα εν λόγω τεκμήρια απαριθμούνται και περιγράφονται τόσο στον όρκο όσο και στο Μέρος ΙΙ της αίτησης και είναι σε αυτά τα τεκμήρια που αφορά το υπό κρίση διάταγμα πρόσβασης σε επικοινωνία. </w:t>
      </w:r>
    </w:p>
    <w:p w14:paraId="06A6C16D" w14:textId="087FCB23" w:rsidR="00B150DB" w:rsidRDefault="00B150DB"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Μια ανάγνωση της αίτησης και του διατάγματος πρόσβασης καταδεικνύει χωρίς δυσκολία ότι τόσο η αίτηση όσο και το διάταγμα περιορίζονται αποκλειστικά και μόνο στα αδικήματα </w:t>
      </w:r>
      <w:r w:rsidR="00117532">
        <w:rPr>
          <w:rFonts w:ascii="Bookman Old Style" w:hAnsi="Bookman Old Style"/>
          <w:sz w:val="28"/>
          <w:szCs w:val="28"/>
          <w:lang w:val="el-GR"/>
        </w:rPr>
        <w:t xml:space="preserve">τα </w:t>
      </w:r>
      <w:r>
        <w:rPr>
          <w:rFonts w:ascii="Bookman Old Style" w:hAnsi="Bookman Old Style"/>
          <w:sz w:val="28"/>
          <w:szCs w:val="28"/>
          <w:lang w:val="el-GR"/>
        </w:rPr>
        <w:t xml:space="preserve">σχετιζόμενα με διαφθορά τα οποία καταγράφονται ανωτέρω. Στον όρκο αναφέρεται ρητώς </w:t>
      </w:r>
      <w:r w:rsidR="00D70BBE">
        <w:rPr>
          <w:rFonts w:ascii="Bookman Old Style" w:hAnsi="Bookman Old Style"/>
          <w:sz w:val="28"/>
          <w:szCs w:val="28"/>
          <w:lang w:val="el-GR"/>
        </w:rPr>
        <w:t xml:space="preserve">και υπογραμμίζεται </w:t>
      </w:r>
      <w:r>
        <w:rPr>
          <w:rFonts w:ascii="Bookman Old Style" w:hAnsi="Bookman Old Style"/>
          <w:sz w:val="28"/>
          <w:szCs w:val="28"/>
          <w:lang w:val="el-GR"/>
        </w:rPr>
        <w:t>ότι το ένταλμα πρόσβασης ζητείται «</w:t>
      </w:r>
      <w:r w:rsidRPr="009C6CC0">
        <w:rPr>
          <w:rFonts w:ascii="Bookman Old Style" w:hAnsi="Bookman Old Style"/>
          <w:i/>
          <w:iCs/>
          <w:sz w:val="28"/>
          <w:szCs w:val="28"/>
          <w:lang w:val="el-GR"/>
        </w:rPr>
        <w:t>αποκλειστικά και μόνο</w:t>
      </w:r>
      <w:r>
        <w:rPr>
          <w:rFonts w:ascii="Bookman Old Style" w:hAnsi="Bookman Old Style"/>
          <w:sz w:val="28"/>
          <w:szCs w:val="28"/>
          <w:lang w:val="el-GR"/>
        </w:rPr>
        <w:t xml:space="preserve">» για τη διερεύνηση των εν λόγω αδικημάτων και το πρακτικό του Δικαστηρίου </w:t>
      </w:r>
      <w:r w:rsidR="003100BD">
        <w:rPr>
          <w:rFonts w:ascii="Bookman Old Style" w:hAnsi="Bookman Old Style"/>
          <w:sz w:val="28"/>
          <w:szCs w:val="28"/>
          <w:lang w:val="el-GR"/>
        </w:rPr>
        <w:t xml:space="preserve">όπως </w:t>
      </w:r>
      <w:r>
        <w:rPr>
          <w:rFonts w:ascii="Bookman Old Style" w:hAnsi="Bookman Old Style"/>
          <w:sz w:val="28"/>
          <w:szCs w:val="28"/>
          <w:lang w:val="el-GR"/>
        </w:rPr>
        <w:t xml:space="preserve">και το διάταγμα </w:t>
      </w:r>
      <w:r w:rsidR="00AB2E3F">
        <w:rPr>
          <w:rFonts w:ascii="Bookman Old Style" w:hAnsi="Bookman Old Style"/>
          <w:sz w:val="28"/>
          <w:szCs w:val="28"/>
          <w:lang w:val="el-GR"/>
        </w:rPr>
        <w:t xml:space="preserve">επίσης </w:t>
      </w:r>
      <w:r>
        <w:rPr>
          <w:rFonts w:ascii="Bookman Old Style" w:hAnsi="Bookman Old Style"/>
          <w:sz w:val="28"/>
          <w:szCs w:val="28"/>
          <w:lang w:val="el-GR"/>
        </w:rPr>
        <w:t xml:space="preserve">αναφέρονται </w:t>
      </w:r>
      <w:r>
        <w:rPr>
          <w:rFonts w:ascii="Bookman Old Style" w:hAnsi="Bookman Old Style"/>
          <w:sz w:val="28"/>
          <w:szCs w:val="28"/>
          <w:lang w:val="el-GR"/>
        </w:rPr>
        <w:lastRenderedPageBreak/>
        <w:t xml:space="preserve">ρητώς </w:t>
      </w:r>
      <w:r w:rsidR="000B1788">
        <w:rPr>
          <w:rFonts w:ascii="Bookman Old Style" w:hAnsi="Bookman Old Style"/>
          <w:sz w:val="28"/>
          <w:szCs w:val="28"/>
          <w:lang w:val="el-GR"/>
        </w:rPr>
        <w:t xml:space="preserve">μόνο </w:t>
      </w:r>
      <w:r>
        <w:rPr>
          <w:rFonts w:ascii="Bookman Old Style" w:hAnsi="Bookman Old Style"/>
          <w:sz w:val="28"/>
          <w:szCs w:val="28"/>
          <w:lang w:val="el-GR"/>
        </w:rPr>
        <w:t xml:space="preserve">σε αυτά. Επομένως το γεγονός ότι τα εν λόγω τεκμήρια κατακρατούνται δυνάμει διαταγμάτων που αφορούν και σε άλλα αδικήματα δεν επηρεάζει τη νομιμότητα της έκδοσης του υπό κρίση διατάγματος από τη στιγμή που αυτό αφορά μόνο τα αδικήματα για τα οποία η πρόσβαση επιτρέπεται από τον Νόμο. </w:t>
      </w:r>
    </w:p>
    <w:p w14:paraId="4AA4D7CF" w14:textId="2B0C4800" w:rsidR="00187CD1" w:rsidRDefault="003C7FA3"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Όσον αφορά τα τεκμήρια, προκύπτει ότι το κατώτερο Δικαστήριο </w:t>
      </w:r>
      <w:r w:rsidR="00187CD1">
        <w:rPr>
          <w:rFonts w:ascii="Bookman Old Style" w:hAnsi="Bookman Old Style"/>
          <w:sz w:val="28"/>
          <w:szCs w:val="28"/>
          <w:lang w:val="el-GR"/>
        </w:rPr>
        <w:t xml:space="preserve">ικανοποιήθηκε ότι το διάταγμα αφορούσε όλα τα εν λόγω τεκμήρια, τα οποία περιλαμβάνουν κινητά τηλέφωνα, έγγραφα και </w:t>
      </w:r>
      <w:r w:rsidR="003100BD">
        <w:rPr>
          <w:rFonts w:ascii="Bookman Old Style" w:hAnsi="Bookman Old Style"/>
          <w:sz w:val="28"/>
          <w:szCs w:val="28"/>
          <w:lang w:val="el-GR"/>
        </w:rPr>
        <w:t>φακέλους (</w:t>
      </w:r>
      <w:r w:rsidR="00187CD1" w:rsidRPr="003100BD">
        <w:rPr>
          <w:rFonts w:ascii="Bookman Old Style" w:hAnsi="Bookman Old Style"/>
          <w:i/>
          <w:iCs/>
          <w:sz w:val="28"/>
          <w:szCs w:val="28"/>
        </w:rPr>
        <w:t>box</w:t>
      </w:r>
      <w:r w:rsidR="00187CD1" w:rsidRPr="003100BD">
        <w:rPr>
          <w:rFonts w:ascii="Bookman Old Style" w:hAnsi="Bookman Old Style"/>
          <w:i/>
          <w:iCs/>
          <w:sz w:val="28"/>
          <w:szCs w:val="28"/>
          <w:lang w:val="el-GR"/>
        </w:rPr>
        <w:t xml:space="preserve"> </w:t>
      </w:r>
      <w:r w:rsidR="00187CD1" w:rsidRPr="003100BD">
        <w:rPr>
          <w:rFonts w:ascii="Bookman Old Style" w:hAnsi="Bookman Old Style"/>
          <w:i/>
          <w:iCs/>
          <w:sz w:val="28"/>
          <w:szCs w:val="28"/>
        </w:rPr>
        <w:t>files</w:t>
      </w:r>
      <w:r w:rsidR="003100BD">
        <w:rPr>
          <w:rFonts w:ascii="Bookman Old Style" w:hAnsi="Bookman Old Style"/>
          <w:sz w:val="28"/>
          <w:szCs w:val="28"/>
          <w:lang w:val="el-GR"/>
        </w:rPr>
        <w:t>)</w:t>
      </w:r>
      <w:r w:rsidR="002704A7">
        <w:rPr>
          <w:rFonts w:ascii="Bookman Old Style" w:hAnsi="Bookman Old Style"/>
          <w:sz w:val="28"/>
          <w:szCs w:val="28"/>
          <w:lang w:val="el-GR"/>
        </w:rPr>
        <w:t>,</w:t>
      </w:r>
      <w:r w:rsidR="00187CD1" w:rsidRPr="00187CD1">
        <w:rPr>
          <w:rFonts w:ascii="Bookman Old Style" w:hAnsi="Bookman Old Style"/>
          <w:sz w:val="28"/>
          <w:szCs w:val="28"/>
          <w:lang w:val="el-GR"/>
        </w:rPr>
        <w:t xml:space="preserve"> </w:t>
      </w:r>
      <w:r w:rsidR="00187CD1">
        <w:rPr>
          <w:rFonts w:ascii="Bookman Old Style" w:hAnsi="Bookman Old Style"/>
          <w:sz w:val="28"/>
          <w:szCs w:val="28"/>
          <w:lang w:val="el-GR"/>
        </w:rPr>
        <w:t xml:space="preserve">καθώς </w:t>
      </w:r>
      <w:r w:rsidR="002704A7">
        <w:rPr>
          <w:rFonts w:ascii="Bookman Old Style" w:hAnsi="Bookman Old Style"/>
          <w:sz w:val="28"/>
          <w:szCs w:val="28"/>
          <w:lang w:val="el-GR"/>
        </w:rPr>
        <w:t xml:space="preserve">και </w:t>
      </w:r>
      <w:r w:rsidR="00187CD1">
        <w:rPr>
          <w:rFonts w:ascii="Bookman Old Style" w:hAnsi="Bookman Old Style"/>
          <w:sz w:val="28"/>
          <w:szCs w:val="28"/>
          <w:lang w:val="el-GR"/>
        </w:rPr>
        <w:t>πύργο</w:t>
      </w:r>
      <w:r w:rsidR="00386FBF">
        <w:rPr>
          <w:rFonts w:ascii="Bookman Old Style" w:hAnsi="Bookman Old Style"/>
          <w:sz w:val="28"/>
          <w:szCs w:val="28"/>
          <w:lang w:val="el-GR"/>
        </w:rPr>
        <w:t>υς</w:t>
      </w:r>
      <w:r w:rsidR="00187CD1">
        <w:rPr>
          <w:rFonts w:ascii="Bookman Old Style" w:hAnsi="Bookman Old Style"/>
          <w:sz w:val="28"/>
          <w:szCs w:val="28"/>
          <w:lang w:val="el-GR"/>
        </w:rPr>
        <w:t xml:space="preserve"> ηλεκτρονικών υπολογιστών, σκληρό δίσκο και </w:t>
      </w:r>
      <w:r w:rsidR="00187CD1">
        <w:rPr>
          <w:rFonts w:ascii="Bookman Old Style" w:hAnsi="Bookman Old Style"/>
          <w:sz w:val="28"/>
          <w:szCs w:val="28"/>
        </w:rPr>
        <w:t>usb</w:t>
      </w:r>
      <w:r w:rsidR="00C82C5B">
        <w:rPr>
          <w:rFonts w:ascii="Bookman Old Style" w:hAnsi="Bookman Old Style"/>
          <w:sz w:val="28"/>
          <w:szCs w:val="28"/>
          <w:lang w:val="el-GR"/>
        </w:rPr>
        <w:t xml:space="preserve">. </w:t>
      </w:r>
      <w:r w:rsidR="004C5AB3">
        <w:rPr>
          <w:rFonts w:ascii="Bookman Old Style" w:hAnsi="Bookman Old Style"/>
          <w:sz w:val="28"/>
          <w:szCs w:val="28"/>
          <w:lang w:val="el-GR"/>
        </w:rPr>
        <w:t xml:space="preserve">Εδώ αξίζει να σημειωθεί ότι το </w:t>
      </w:r>
      <w:r w:rsidR="004C5AB3" w:rsidRPr="006D32B9">
        <w:rPr>
          <w:rFonts w:ascii="Bookman Old Style" w:hAnsi="Bookman Old Style"/>
          <w:b/>
          <w:bCs/>
          <w:i/>
          <w:iCs/>
          <w:sz w:val="28"/>
          <w:szCs w:val="28"/>
          <w:lang w:val="el-GR"/>
        </w:rPr>
        <w:t>άρθρο 21(3) του Ν.92(Ι)/1996</w:t>
      </w:r>
      <w:r w:rsidR="004C5AB3">
        <w:rPr>
          <w:rFonts w:ascii="Bookman Old Style" w:hAnsi="Bookman Old Style"/>
          <w:sz w:val="28"/>
          <w:szCs w:val="28"/>
          <w:lang w:val="el-GR"/>
        </w:rPr>
        <w:t xml:space="preserve"> αναφέρεται σε αίτημα για πρόσβαση σε δεδομένα </w:t>
      </w:r>
      <w:r w:rsidR="006D32B9">
        <w:rPr>
          <w:rFonts w:ascii="Bookman Old Style" w:hAnsi="Bookman Old Style"/>
          <w:sz w:val="28"/>
          <w:szCs w:val="28"/>
          <w:lang w:val="el-GR"/>
        </w:rPr>
        <w:t>«</w:t>
      </w:r>
      <w:r w:rsidR="004C5AB3" w:rsidRPr="00AB6470">
        <w:rPr>
          <w:rFonts w:ascii="Bookman Old Style" w:hAnsi="Bookman Old Style"/>
          <w:i/>
          <w:iCs/>
          <w:sz w:val="28"/>
          <w:szCs w:val="28"/>
          <w:lang w:val="el-GR"/>
        </w:rPr>
        <w:t>τα οποία εύλογα πιστεύεται ότι βρίσκονται καταγεγραμμένα σε έγγραφα ή σε συσκευές ή σε αντικείμενα τα οποία έχουν περιέλθει ή πρόκειται να περιέλθουν στην κατοχή της Αστυνομίας</w:t>
      </w:r>
      <w:r w:rsidR="004C5AB3" w:rsidRPr="00AB6470">
        <w:rPr>
          <w:rFonts w:ascii="Bookman Old Style" w:hAnsi="Bookman Old Style"/>
          <w:sz w:val="28"/>
          <w:szCs w:val="28"/>
          <w:lang w:val="el-GR"/>
        </w:rPr>
        <w:t>»</w:t>
      </w:r>
      <w:r w:rsidR="004C5AB3">
        <w:rPr>
          <w:rFonts w:ascii="Bookman Old Style" w:hAnsi="Bookman Old Style"/>
          <w:sz w:val="28"/>
          <w:szCs w:val="28"/>
          <w:lang w:val="el-GR"/>
        </w:rPr>
        <w:t xml:space="preserve">. </w:t>
      </w:r>
      <w:r w:rsidR="00C82C5B">
        <w:rPr>
          <w:rFonts w:ascii="Bookman Old Style" w:hAnsi="Bookman Old Style"/>
          <w:sz w:val="28"/>
          <w:szCs w:val="28"/>
          <w:lang w:val="el-GR"/>
        </w:rPr>
        <w:t>Ε</w:t>
      </w:r>
      <w:r w:rsidR="00187CD1">
        <w:rPr>
          <w:rFonts w:ascii="Bookman Old Style" w:hAnsi="Bookman Old Style"/>
          <w:sz w:val="28"/>
          <w:szCs w:val="28"/>
          <w:lang w:val="el-GR"/>
        </w:rPr>
        <w:t>πομένως</w:t>
      </w:r>
      <w:r w:rsidR="00E5544D">
        <w:rPr>
          <w:rFonts w:ascii="Bookman Old Style" w:hAnsi="Bookman Old Style"/>
          <w:sz w:val="28"/>
          <w:szCs w:val="28"/>
          <w:lang w:val="el-GR"/>
        </w:rPr>
        <w:t xml:space="preserve"> παρείχετο εξουσία στο κατώτερο Δικαστήριο να εκδώσει το εν λόγω διάταγμα αναφορικά με όλα τα προαναφερόμενα </w:t>
      </w:r>
      <w:r w:rsidR="00CD3249">
        <w:rPr>
          <w:rFonts w:ascii="Bookman Old Style" w:hAnsi="Bookman Old Style"/>
          <w:sz w:val="28"/>
          <w:szCs w:val="28"/>
          <w:lang w:val="el-GR"/>
        </w:rPr>
        <w:t>τεκμήρια και δ</w:t>
      </w:r>
      <w:r w:rsidR="00187CD1">
        <w:rPr>
          <w:rFonts w:ascii="Bookman Old Style" w:hAnsi="Bookman Old Style"/>
          <w:sz w:val="28"/>
          <w:szCs w:val="28"/>
          <w:lang w:val="el-GR"/>
        </w:rPr>
        <w:t xml:space="preserve">εν τίθετο ζήτημα ξεχωριστής αναφοράς σε καθένα εξ αυτών </w:t>
      </w:r>
      <w:r w:rsidR="00E5062A">
        <w:rPr>
          <w:rFonts w:ascii="Bookman Old Style" w:hAnsi="Bookman Old Style"/>
          <w:sz w:val="28"/>
          <w:szCs w:val="28"/>
          <w:lang w:val="el-GR"/>
        </w:rPr>
        <w:t xml:space="preserve">και </w:t>
      </w:r>
      <w:r w:rsidR="004D7333">
        <w:rPr>
          <w:rFonts w:ascii="Bookman Old Style" w:hAnsi="Bookman Old Style"/>
          <w:sz w:val="28"/>
          <w:szCs w:val="28"/>
          <w:lang w:val="el-GR"/>
        </w:rPr>
        <w:t xml:space="preserve">ξεχωριστής </w:t>
      </w:r>
      <w:r w:rsidR="00E5062A">
        <w:rPr>
          <w:rFonts w:ascii="Bookman Old Style" w:hAnsi="Bookman Old Style"/>
          <w:sz w:val="28"/>
          <w:szCs w:val="28"/>
          <w:lang w:val="el-GR"/>
        </w:rPr>
        <w:t xml:space="preserve">διασύνδεσης του με τα υπό εξέταση αδικήματα διαφθοράς </w:t>
      </w:r>
      <w:r w:rsidR="00187CD1">
        <w:rPr>
          <w:rFonts w:ascii="Bookman Old Style" w:hAnsi="Bookman Old Style"/>
          <w:sz w:val="28"/>
          <w:szCs w:val="28"/>
          <w:lang w:val="el-GR"/>
        </w:rPr>
        <w:t>για σκοπούς έκδοσης του διατάγματος</w:t>
      </w:r>
      <w:r w:rsidR="00E54648">
        <w:rPr>
          <w:rFonts w:ascii="Bookman Old Style" w:hAnsi="Bookman Old Style"/>
          <w:sz w:val="28"/>
          <w:szCs w:val="28"/>
          <w:lang w:val="el-GR"/>
        </w:rPr>
        <w:t>, ως η εισήγηση των Αιτητών</w:t>
      </w:r>
      <w:r w:rsidR="00187CD1">
        <w:rPr>
          <w:rFonts w:ascii="Bookman Old Style" w:hAnsi="Bookman Old Style"/>
          <w:sz w:val="28"/>
          <w:szCs w:val="28"/>
          <w:lang w:val="el-GR"/>
        </w:rPr>
        <w:t xml:space="preserve">. </w:t>
      </w:r>
    </w:p>
    <w:p w14:paraId="0BB4E62B" w14:textId="02BB38FD" w:rsidR="00F1728A" w:rsidRDefault="00A4139A"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t xml:space="preserve">Ανεξαρτήτως του περιεχομένου του όρκου, </w:t>
      </w:r>
      <w:r w:rsidR="00C71220">
        <w:rPr>
          <w:rFonts w:ascii="Bookman Old Style" w:hAnsi="Bookman Old Style"/>
          <w:sz w:val="28"/>
          <w:szCs w:val="28"/>
          <w:lang w:val="el-GR"/>
        </w:rPr>
        <w:t>στο πρακτικό του κατώτερου Δικαστηρίου, αναφέρεται, μεταξύ άλλων, ότι το Δικαστήριο μελέτησε τα όσα αναγράφονται στην αίτηση και στην πολυσέλιδη ένορκη δήλωση που τη συνοδεύει, ότι έχει ικανοποιηθεί πως πληρούνται οι προϋποθέσεις έγκρισης της και πως, με βάση τα γεγονότα που υποβλήθηκαν από την αιτή</w:t>
      </w:r>
      <w:r w:rsidR="004D7333">
        <w:rPr>
          <w:rFonts w:ascii="Bookman Old Style" w:hAnsi="Bookman Old Style"/>
          <w:sz w:val="28"/>
          <w:szCs w:val="28"/>
          <w:lang w:val="el-GR"/>
        </w:rPr>
        <w:t>τρια</w:t>
      </w:r>
      <w:r w:rsidR="00C71220">
        <w:rPr>
          <w:rFonts w:ascii="Bookman Old Style" w:hAnsi="Bookman Old Style"/>
          <w:sz w:val="28"/>
          <w:szCs w:val="28"/>
          <w:lang w:val="el-GR"/>
        </w:rPr>
        <w:t xml:space="preserve">, υπάρχει εύλογη υποψία ή πιθανότητα ότι πρόσωπο διέπραξε </w:t>
      </w:r>
      <w:r w:rsidR="00F1728A">
        <w:rPr>
          <w:rFonts w:ascii="Bookman Old Style" w:hAnsi="Bookman Old Style"/>
          <w:sz w:val="28"/>
          <w:szCs w:val="28"/>
          <w:lang w:val="el-GR"/>
        </w:rPr>
        <w:t>αδίκημα. Στο ίδιο το διάταγμα αναφέρεται ότι αφού το Δικαστήριο ανέγνωσε την αίτηση και την ένορκη δήλωση που τη συνοδεύει</w:t>
      </w:r>
      <w:r w:rsidR="0059339D">
        <w:rPr>
          <w:rFonts w:ascii="Bookman Old Style" w:hAnsi="Bookman Old Style"/>
          <w:sz w:val="28"/>
          <w:szCs w:val="28"/>
          <w:lang w:val="el-GR"/>
        </w:rPr>
        <w:t xml:space="preserve">, </w:t>
      </w:r>
      <w:r w:rsidR="00F1728A">
        <w:rPr>
          <w:rFonts w:ascii="Bookman Old Style" w:hAnsi="Bookman Old Style"/>
          <w:sz w:val="28"/>
          <w:szCs w:val="28"/>
          <w:lang w:val="el-GR"/>
        </w:rPr>
        <w:t xml:space="preserve">έχει ικανοποιηθεί πως υπάρχει εύλογη υποψία ή πιθανότητα ότι τα σοβαρά αδικήματα τα οποία εμπίπτουν εντός του </w:t>
      </w:r>
      <w:r w:rsidR="00841496">
        <w:rPr>
          <w:rFonts w:ascii="Bookman Old Style" w:hAnsi="Bookman Old Style"/>
          <w:b/>
          <w:bCs/>
          <w:i/>
          <w:iCs/>
          <w:sz w:val="28"/>
          <w:szCs w:val="28"/>
          <w:lang w:val="el-GR"/>
        </w:rPr>
        <w:t>Ά</w:t>
      </w:r>
      <w:r w:rsidR="00F1728A" w:rsidRPr="002B70D6">
        <w:rPr>
          <w:rFonts w:ascii="Bookman Old Style" w:hAnsi="Bookman Old Style"/>
          <w:b/>
          <w:bCs/>
          <w:i/>
          <w:iCs/>
          <w:sz w:val="28"/>
          <w:szCs w:val="28"/>
          <w:lang w:val="el-GR"/>
        </w:rPr>
        <w:t>ρθρου 17.2(Β) του Συντάγματος</w:t>
      </w:r>
      <w:r w:rsidR="00F1728A">
        <w:rPr>
          <w:rFonts w:ascii="Bookman Old Style" w:hAnsi="Bookman Old Style"/>
          <w:sz w:val="28"/>
          <w:szCs w:val="28"/>
          <w:lang w:val="el-GR"/>
        </w:rPr>
        <w:t xml:space="preserve"> έχουν διαπραχθεί. </w:t>
      </w:r>
    </w:p>
    <w:p w14:paraId="456F5089" w14:textId="59785E8D" w:rsidR="002B70D6" w:rsidRPr="00645807" w:rsidRDefault="00645807"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BD0A74">
        <w:rPr>
          <w:rFonts w:ascii="Bookman Old Style" w:hAnsi="Bookman Old Style"/>
          <w:sz w:val="28"/>
          <w:szCs w:val="28"/>
          <w:lang w:val="el-GR"/>
        </w:rPr>
        <w:t>Τ</w:t>
      </w:r>
      <w:r>
        <w:rPr>
          <w:rFonts w:ascii="Bookman Old Style" w:hAnsi="Bookman Old Style"/>
          <w:sz w:val="28"/>
          <w:szCs w:val="28"/>
          <w:lang w:val="el-GR"/>
        </w:rPr>
        <w:t xml:space="preserve">ο διάταγμα και το πρακτικό του κατώτερου Δικαστηρίου το οποίο περιέχει την αιτιολογημένη του απόφαση για την ικανοποίηση των προϋποθέσεων έκδοσης του διατάγματος </w:t>
      </w:r>
      <w:r w:rsidR="005170AC">
        <w:rPr>
          <w:rFonts w:ascii="Bookman Old Style" w:hAnsi="Bookman Old Style"/>
          <w:sz w:val="28"/>
          <w:szCs w:val="28"/>
          <w:lang w:val="el-GR"/>
        </w:rPr>
        <w:t>θα πρέπει να εξετάζονται μαζί και όχι αποσπασματικά</w:t>
      </w:r>
      <w:r w:rsidR="0074150D">
        <w:rPr>
          <w:rFonts w:ascii="Bookman Old Style" w:hAnsi="Bookman Old Style"/>
          <w:sz w:val="28"/>
          <w:szCs w:val="28"/>
          <w:lang w:val="el-GR"/>
        </w:rPr>
        <w:t>,</w:t>
      </w:r>
      <w:r w:rsidR="005170AC">
        <w:rPr>
          <w:rFonts w:ascii="Bookman Old Style" w:hAnsi="Bookman Old Style"/>
          <w:sz w:val="28"/>
          <w:szCs w:val="28"/>
          <w:lang w:val="el-GR"/>
        </w:rPr>
        <w:t xml:space="preserve"> ειδικότερα εφόσον στο ίδιο το διάταγμα γίνεται παραπομπή στο πρακτικό του Δικαστηρίου. Σχετικές είναι οι υποθέσεις </w:t>
      </w:r>
      <w:r w:rsidR="005170AC" w:rsidRPr="005170AC">
        <w:rPr>
          <w:rFonts w:ascii="Bookman Old Style" w:hAnsi="Bookman Old Style"/>
          <w:b/>
          <w:bCs/>
          <w:i/>
          <w:iCs/>
          <w:sz w:val="28"/>
          <w:szCs w:val="28"/>
          <w:lang w:val="el-GR"/>
        </w:rPr>
        <w:t>Αναφορικά με την Αίτηση του Α.Α. και του Χ.Τ., Πολ. Έφεση Αρ. 272/2001, ημερ. 13.10.2022</w:t>
      </w:r>
      <w:r w:rsidR="005170AC">
        <w:rPr>
          <w:rFonts w:ascii="Bookman Old Style" w:hAnsi="Bookman Old Style"/>
          <w:sz w:val="28"/>
          <w:szCs w:val="28"/>
          <w:lang w:val="el-GR"/>
        </w:rPr>
        <w:t xml:space="preserve"> και </w:t>
      </w:r>
      <w:r w:rsidR="005170AC" w:rsidRPr="005170AC">
        <w:rPr>
          <w:rFonts w:ascii="Bookman Old Style" w:hAnsi="Bookman Old Style"/>
          <w:b/>
          <w:bCs/>
          <w:i/>
          <w:iCs/>
          <w:sz w:val="28"/>
          <w:szCs w:val="28"/>
          <w:lang w:val="el-GR"/>
        </w:rPr>
        <w:t>Αναφορικά με την Αίτηση του Γ.Χ</w:t>
      </w:r>
      <w:r w:rsidR="002067CB">
        <w:rPr>
          <w:rFonts w:ascii="Bookman Old Style" w:hAnsi="Bookman Old Style"/>
          <w:b/>
          <w:bCs/>
          <w:i/>
          <w:iCs/>
          <w:sz w:val="28"/>
          <w:szCs w:val="28"/>
          <w:lang w:val="el-GR"/>
        </w:rPr>
        <w:t>.</w:t>
      </w:r>
      <w:r w:rsidR="005170AC" w:rsidRPr="005170AC">
        <w:rPr>
          <w:rFonts w:ascii="Bookman Old Style" w:hAnsi="Bookman Old Style"/>
          <w:b/>
          <w:bCs/>
          <w:i/>
          <w:iCs/>
          <w:sz w:val="28"/>
          <w:szCs w:val="28"/>
          <w:lang w:val="el-GR"/>
        </w:rPr>
        <w:t>, Πολ. Αίτηση Αρ. 74/2023, ημερ. 18.7.2023</w:t>
      </w:r>
      <w:r w:rsidR="005170AC">
        <w:rPr>
          <w:rFonts w:ascii="Bookman Old Style" w:hAnsi="Bookman Old Style"/>
          <w:sz w:val="28"/>
          <w:szCs w:val="28"/>
          <w:lang w:val="el-GR"/>
        </w:rPr>
        <w:t xml:space="preserve">. </w:t>
      </w:r>
    </w:p>
    <w:p w14:paraId="59CC5F69" w14:textId="40F90839" w:rsidR="002067CB" w:rsidRDefault="00F1728A"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t xml:space="preserve">Τόσο στο πρακτικό όσο και στο ίδιο το διάταγμα, αναφέρεται </w:t>
      </w:r>
      <w:r w:rsidR="006B2FA5">
        <w:rPr>
          <w:rFonts w:ascii="Bookman Old Style" w:hAnsi="Bookman Old Style"/>
          <w:sz w:val="28"/>
          <w:szCs w:val="28"/>
          <w:lang w:val="el-GR"/>
        </w:rPr>
        <w:t xml:space="preserve">επίσης </w:t>
      </w:r>
      <w:r>
        <w:rPr>
          <w:rFonts w:ascii="Bookman Old Style" w:hAnsi="Bookman Old Style"/>
          <w:sz w:val="28"/>
          <w:szCs w:val="28"/>
          <w:lang w:val="el-GR"/>
        </w:rPr>
        <w:t>ότι το Δικαστήριο ικανοποιήθηκε πως συντρέχουν και οι υπόλοιπες προϋποθέσεις</w:t>
      </w:r>
      <w:r w:rsidR="00AA5B6B">
        <w:rPr>
          <w:rFonts w:ascii="Bookman Old Style" w:hAnsi="Bookman Old Style"/>
          <w:sz w:val="28"/>
          <w:szCs w:val="28"/>
          <w:lang w:val="el-GR"/>
        </w:rPr>
        <w:t xml:space="preserve"> που θέτει το </w:t>
      </w:r>
      <w:r w:rsidR="002D16AB">
        <w:rPr>
          <w:rFonts w:ascii="Bookman Old Style" w:hAnsi="Bookman Old Style"/>
          <w:b/>
          <w:bCs/>
          <w:i/>
          <w:iCs/>
          <w:sz w:val="28"/>
          <w:szCs w:val="28"/>
          <w:lang w:val="el-GR"/>
        </w:rPr>
        <w:t>ά</w:t>
      </w:r>
      <w:r w:rsidR="00AA5B6B" w:rsidRPr="00AA5B6B">
        <w:rPr>
          <w:rFonts w:ascii="Bookman Old Style" w:hAnsi="Bookman Old Style"/>
          <w:b/>
          <w:bCs/>
          <w:i/>
          <w:iCs/>
          <w:sz w:val="28"/>
          <w:szCs w:val="28"/>
          <w:lang w:val="el-GR"/>
        </w:rPr>
        <w:t>ρθρο 23(1) του Ν.92(Ι)/1996</w:t>
      </w:r>
      <w:r>
        <w:rPr>
          <w:rFonts w:ascii="Bookman Old Style" w:hAnsi="Bookman Old Style"/>
          <w:sz w:val="28"/>
          <w:szCs w:val="28"/>
          <w:lang w:val="el-GR"/>
        </w:rPr>
        <w:t xml:space="preserve">, ήτοι ότι συγκεκριμένη ιδιωτική επικοινωνία, για την οποία ζητείται η πρόσβαση, επιθεώρηση και λήψη, είναι συναφής με τα εν λόγω σοβαρά αδικήματα και </w:t>
      </w:r>
      <w:r w:rsidR="00AA5B6B">
        <w:rPr>
          <w:rFonts w:ascii="Bookman Old Style" w:hAnsi="Bookman Old Style"/>
          <w:sz w:val="28"/>
          <w:szCs w:val="28"/>
          <w:lang w:val="el-GR"/>
        </w:rPr>
        <w:t xml:space="preserve">ότι </w:t>
      </w:r>
      <w:r>
        <w:rPr>
          <w:rFonts w:ascii="Bookman Old Style" w:hAnsi="Bookman Old Style"/>
          <w:sz w:val="28"/>
          <w:szCs w:val="28"/>
          <w:lang w:val="el-GR"/>
        </w:rPr>
        <w:t xml:space="preserve">η έκδοση του διατάγματος είναι προς το συμφέρον της δικαιοσύνης. </w:t>
      </w:r>
    </w:p>
    <w:p w14:paraId="43F61346" w14:textId="543C0477" w:rsidR="005A77B5" w:rsidRDefault="002067CB"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5A77B5">
        <w:rPr>
          <w:rFonts w:ascii="Bookman Old Style" w:hAnsi="Bookman Old Style"/>
          <w:sz w:val="28"/>
          <w:szCs w:val="28"/>
          <w:lang w:val="el-GR"/>
        </w:rPr>
        <w:t xml:space="preserve">Στην προαναφερόμενη υπόθεση </w:t>
      </w:r>
      <w:r w:rsidR="005A77B5" w:rsidRPr="005A77B5">
        <w:rPr>
          <w:rFonts w:ascii="Bookman Old Style" w:hAnsi="Bookman Old Style"/>
          <w:b/>
          <w:bCs/>
          <w:i/>
          <w:iCs/>
          <w:sz w:val="28"/>
          <w:szCs w:val="28"/>
          <w:lang w:val="el-GR"/>
        </w:rPr>
        <w:t>Αναφορικά με την Αίτηση του Α.Α. και του Χ.Τ. (ανωτέρω)</w:t>
      </w:r>
      <w:r w:rsidR="005A77B5">
        <w:rPr>
          <w:rFonts w:ascii="Bookman Old Style" w:hAnsi="Bookman Old Style"/>
          <w:sz w:val="28"/>
          <w:szCs w:val="28"/>
          <w:lang w:val="el-GR"/>
        </w:rPr>
        <w:t xml:space="preserve">, επισημάνθηκε ότι το διάταγμα εκδίδεται κατ’  εξαίρεση του θεμελιακού δικαιώματος στο </w:t>
      </w:r>
      <w:r w:rsidR="00B678E6">
        <w:rPr>
          <w:rFonts w:ascii="Bookman Old Style" w:hAnsi="Bookman Old Style"/>
          <w:b/>
          <w:bCs/>
          <w:i/>
          <w:iCs/>
          <w:sz w:val="28"/>
          <w:szCs w:val="28"/>
          <w:lang w:val="el-GR"/>
        </w:rPr>
        <w:t>Ά</w:t>
      </w:r>
      <w:r w:rsidR="005A77B5" w:rsidRPr="00E53D75">
        <w:rPr>
          <w:rFonts w:ascii="Bookman Old Style" w:hAnsi="Bookman Old Style"/>
          <w:b/>
          <w:bCs/>
          <w:i/>
          <w:iCs/>
          <w:sz w:val="28"/>
          <w:szCs w:val="28"/>
          <w:lang w:val="el-GR"/>
        </w:rPr>
        <w:t>ρθρο 1</w:t>
      </w:r>
      <w:r w:rsidR="00E53D75" w:rsidRPr="00E53D75">
        <w:rPr>
          <w:rFonts w:ascii="Bookman Old Style" w:hAnsi="Bookman Old Style"/>
          <w:b/>
          <w:bCs/>
          <w:i/>
          <w:iCs/>
          <w:sz w:val="28"/>
          <w:szCs w:val="28"/>
          <w:lang w:val="el-GR"/>
        </w:rPr>
        <w:t xml:space="preserve">7.1 του Συντάγματος </w:t>
      </w:r>
      <w:r w:rsidR="00C37A00">
        <w:rPr>
          <w:rFonts w:ascii="Bookman Old Style" w:hAnsi="Bookman Old Style"/>
          <w:sz w:val="28"/>
          <w:szCs w:val="28"/>
          <w:lang w:val="el-GR"/>
        </w:rPr>
        <w:t xml:space="preserve">το οποίο διαφυλάσσει το δικαίωμα του απορρήτου της επικοινωνίας και ότι η δυνατότητα αυτή προβλέπεται στο </w:t>
      </w:r>
      <w:r w:rsidR="00B678E6">
        <w:rPr>
          <w:rFonts w:ascii="Bookman Old Style" w:hAnsi="Bookman Old Style"/>
          <w:b/>
          <w:bCs/>
          <w:i/>
          <w:iCs/>
          <w:sz w:val="28"/>
          <w:szCs w:val="28"/>
          <w:lang w:val="el-GR"/>
        </w:rPr>
        <w:t>Ά</w:t>
      </w:r>
      <w:r w:rsidR="00C37A00" w:rsidRPr="00C37A00">
        <w:rPr>
          <w:rFonts w:ascii="Bookman Old Style" w:hAnsi="Bookman Old Style"/>
          <w:b/>
          <w:bCs/>
          <w:i/>
          <w:iCs/>
          <w:sz w:val="28"/>
          <w:szCs w:val="28"/>
          <w:lang w:val="el-GR"/>
        </w:rPr>
        <w:t>ρθρο 17.2(Β)(ε)</w:t>
      </w:r>
      <w:r w:rsidR="00C37A00">
        <w:rPr>
          <w:rFonts w:ascii="Bookman Old Style" w:hAnsi="Bookman Old Style"/>
          <w:sz w:val="28"/>
          <w:szCs w:val="28"/>
          <w:lang w:val="el-GR"/>
        </w:rPr>
        <w:t xml:space="preserve"> το οποίο προνοεί για την έκδοση διατάγματος στις περιπτώσεις όπου κρίνεται ότι «</w:t>
      </w:r>
      <w:r w:rsidR="00C37A00" w:rsidRPr="00C37A00">
        <w:rPr>
          <w:rFonts w:ascii="Bookman Old Style" w:hAnsi="Bookman Old Style"/>
          <w:i/>
          <w:iCs/>
          <w:sz w:val="28"/>
          <w:szCs w:val="28"/>
          <w:lang w:val="el-GR"/>
        </w:rPr>
        <w:t>η επέμβαση αποτελεί μέτρο το οποίο σε μία δημοκρατική κοινωνία είναι αναγκαίο, μόνο προς το συμφέρον της ασφάλειας της Δημοκρατίας ή την αποτροπή, διερεύνηση ή δίωξη για τα εκεί αναγραφόμενα σοβαρά αδικήματα</w:t>
      </w:r>
      <w:r w:rsidR="00C37A00">
        <w:rPr>
          <w:rFonts w:ascii="Bookman Old Style" w:hAnsi="Bookman Old Style"/>
          <w:sz w:val="28"/>
          <w:szCs w:val="28"/>
          <w:lang w:val="el-GR"/>
        </w:rPr>
        <w:t xml:space="preserve">». </w:t>
      </w:r>
    </w:p>
    <w:p w14:paraId="0DBE82DB" w14:textId="77777777" w:rsidR="00F86E84" w:rsidRPr="00F86E84" w:rsidRDefault="00FB6697" w:rsidP="00101C29">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Η αρχή της αναλογικότητας επιβάλλει τη λήψη μέτρων για το δημόσιο συμφέρον τα οποία βεβαίως περιορίζουν θεμελιώδη δικαιώματα στον βαθμό που κρίνεται απολύτως αναγκαίο. </w:t>
      </w:r>
      <w:r w:rsidR="00F86E84">
        <w:rPr>
          <w:rFonts w:ascii="Bookman Old Style" w:hAnsi="Bookman Old Style"/>
          <w:sz w:val="28"/>
          <w:szCs w:val="28"/>
          <w:lang w:val="el-GR"/>
        </w:rPr>
        <w:t xml:space="preserve">Το ακόλουθο </w:t>
      </w:r>
      <w:r w:rsidR="00F86E84">
        <w:rPr>
          <w:rFonts w:ascii="Bookman Old Style" w:hAnsi="Bookman Old Style"/>
          <w:sz w:val="28"/>
          <w:szCs w:val="28"/>
          <w:lang w:val="el-GR"/>
        </w:rPr>
        <w:lastRenderedPageBreak/>
        <w:t xml:space="preserve">απόσπασμα από την </w:t>
      </w:r>
      <w:r w:rsidR="00971414">
        <w:rPr>
          <w:rFonts w:ascii="Bookman Old Style" w:hAnsi="Bookman Old Style"/>
          <w:sz w:val="28"/>
          <w:szCs w:val="28"/>
          <w:lang w:val="el-GR"/>
        </w:rPr>
        <w:t xml:space="preserve">υπόθεση </w:t>
      </w:r>
      <w:r w:rsidR="00971414" w:rsidRPr="00971414">
        <w:rPr>
          <w:rFonts w:ascii="Bookman Old Style" w:hAnsi="Bookman Old Style"/>
          <w:b/>
          <w:bCs/>
          <w:i/>
          <w:iCs/>
          <w:sz w:val="28"/>
          <w:szCs w:val="28"/>
          <w:lang w:val="el-GR"/>
        </w:rPr>
        <w:t>Αναφορικά με την Αίτηση του Χατζηιωάννου κ.ά, Πολ. Αιτήσεις Αρ. 97/18 κ.ά, ημερ. 27.20.2021</w:t>
      </w:r>
      <w:r w:rsidR="00971414">
        <w:rPr>
          <w:rFonts w:ascii="Bookman Old Style" w:hAnsi="Bookman Old Style"/>
          <w:sz w:val="28"/>
          <w:szCs w:val="28"/>
          <w:lang w:val="el-GR"/>
        </w:rPr>
        <w:t>,</w:t>
      </w:r>
      <w:r w:rsidR="00F86E84">
        <w:rPr>
          <w:rFonts w:ascii="Bookman Old Style" w:hAnsi="Bookman Old Style"/>
          <w:sz w:val="28"/>
          <w:szCs w:val="28"/>
          <w:lang w:val="el-GR"/>
        </w:rPr>
        <w:t xml:space="preserve"> είναι διαφωτιστικό</w:t>
      </w:r>
      <w:r w:rsidR="00F86E84" w:rsidRPr="00F86E84">
        <w:rPr>
          <w:rFonts w:ascii="Bookman Old Style" w:hAnsi="Bookman Old Style"/>
          <w:sz w:val="28"/>
          <w:szCs w:val="28"/>
          <w:lang w:val="el-GR"/>
        </w:rPr>
        <w:t>:</w:t>
      </w:r>
    </w:p>
    <w:p w14:paraId="11D1B25B" w14:textId="0C8EC865" w:rsidR="00971414" w:rsidRDefault="00971414" w:rsidP="00101C29">
      <w:pPr>
        <w:spacing w:line="240" w:lineRule="auto"/>
        <w:ind w:left="567"/>
        <w:jc w:val="both"/>
        <w:rPr>
          <w:rFonts w:ascii="Bookman Old Style" w:hAnsi="Bookman Old Style"/>
          <w:color w:val="000000"/>
          <w:sz w:val="28"/>
          <w:szCs w:val="28"/>
          <w:lang w:val="el-GR"/>
        </w:rPr>
      </w:pPr>
      <w:r>
        <w:rPr>
          <w:rFonts w:ascii="Bookman Old Style" w:hAnsi="Bookman Old Style"/>
          <w:color w:val="000000"/>
          <w:sz w:val="28"/>
          <w:szCs w:val="28"/>
          <w:lang w:val="el-GR"/>
        </w:rPr>
        <w:t>«</w:t>
      </w:r>
      <w:r w:rsidR="00F86E84">
        <w:rPr>
          <w:rFonts w:ascii="Bookman Old Style" w:hAnsi="Bookman Old Style"/>
          <w:i/>
          <w:iCs/>
          <w:color w:val="000000"/>
          <w:sz w:val="28"/>
          <w:szCs w:val="28"/>
        </w:rPr>
        <w:t>H</w:t>
      </w:r>
      <w:r w:rsidRPr="00971414">
        <w:rPr>
          <w:rFonts w:ascii="Bookman Old Style" w:hAnsi="Bookman Old Style"/>
          <w:i/>
          <w:iCs/>
          <w:color w:val="000000"/>
          <w:sz w:val="28"/>
          <w:szCs w:val="28"/>
          <w:lang w:val="el-GR"/>
        </w:rPr>
        <w:t xml:space="preserve"> εκτίμηση της εγκυρότητας ενός μέτρου, το οποίο, ενώ επηρεάζει δικαιώματα, μπορεί να δικαιολογείται στο πλαίσιο της επιδίωξης κάποιου νόμιμου σκοπού, όπως η καταστολή του σοβαρού εγκλήματος, απολήγει, τελικά, σε ζήτημα αναλογικότητας. Το μέτρο, δηλαδή, δεν πρέπει να εκπίπτει των ορίων του απολύτως αναγκαίου για την επίτευξη του νομίμως επιδιωκόμενου σκοπού της νομοθεσίας. Η στοχευμένη διατήρηση δεδομένων σε αυτό φαίνεται να αποσκοπεί.</w:t>
      </w:r>
      <w:r>
        <w:rPr>
          <w:rFonts w:ascii="Bookman Old Style" w:hAnsi="Bookman Old Style"/>
          <w:color w:val="000000"/>
          <w:sz w:val="28"/>
          <w:szCs w:val="28"/>
          <w:lang w:val="el-GR"/>
        </w:rPr>
        <w:t>»</w:t>
      </w:r>
    </w:p>
    <w:p w14:paraId="769BFD25" w14:textId="77777777" w:rsidR="00F86E84" w:rsidRPr="00971414" w:rsidRDefault="00F86E84" w:rsidP="00F86E84">
      <w:pPr>
        <w:tabs>
          <w:tab w:val="left" w:pos="720"/>
        </w:tabs>
        <w:spacing w:line="240" w:lineRule="auto"/>
        <w:jc w:val="both"/>
        <w:rPr>
          <w:rFonts w:ascii="Bookman Old Style" w:hAnsi="Bookman Old Style"/>
          <w:sz w:val="28"/>
          <w:szCs w:val="28"/>
          <w:lang w:val="el-GR"/>
        </w:rPr>
      </w:pPr>
    </w:p>
    <w:p w14:paraId="6618618E" w14:textId="24830115" w:rsidR="0063580C" w:rsidRPr="004B2C20" w:rsidRDefault="00F86E84" w:rsidP="00101C29">
      <w:pPr>
        <w:tabs>
          <w:tab w:val="left" w:pos="567"/>
        </w:tabs>
        <w:spacing w:after="240" w:line="480" w:lineRule="auto"/>
        <w:jc w:val="both"/>
        <w:rPr>
          <w:rFonts w:ascii="Bookman Old Style" w:hAnsi="Bookman Old Style"/>
          <w:sz w:val="28"/>
          <w:szCs w:val="28"/>
          <w:lang w:val="el-GR"/>
        </w:rPr>
      </w:pPr>
      <w:r>
        <w:rPr>
          <w:rFonts w:ascii="Bookman Old Style" w:hAnsi="Bookman Old Style"/>
          <w:sz w:val="28"/>
          <w:szCs w:val="28"/>
          <w:lang w:val="el-GR"/>
        </w:rPr>
        <w:tab/>
      </w:r>
      <w:r w:rsidR="0063580C">
        <w:rPr>
          <w:rFonts w:ascii="Bookman Old Style" w:hAnsi="Bookman Old Style"/>
          <w:sz w:val="28"/>
          <w:szCs w:val="28"/>
          <w:lang w:val="el-GR"/>
        </w:rPr>
        <w:t>Στην ανωτέρω υπόθεση έγινε παραπομπή και στ</w:t>
      </w:r>
      <w:r w:rsidR="0063580C" w:rsidRPr="0063580C">
        <w:rPr>
          <w:rFonts w:ascii="Bookman Old Style" w:hAnsi="Bookman Old Style"/>
          <w:sz w:val="28"/>
          <w:szCs w:val="28"/>
          <w:lang w:val="el-GR"/>
        </w:rPr>
        <w:t>η</w:t>
      </w:r>
      <w:r w:rsidR="0063580C">
        <w:rPr>
          <w:rFonts w:ascii="Bookman Old Style" w:hAnsi="Bookman Old Style"/>
          <w:sz w:val="28"/>
          <w:szCs w:val="28"/>
          <w:lang w:val="el-GR"/>
        </w:rPr>
        <w:t>ν</w:t>
      </w:r>
      <w:r w:rsidR="0063580C" w:rsidRPr="0063580C">
        <w:rPr>
          <w:rFonts w:ascii="Bookman Old Style" w:hAnsi="Bookman Old Style"/>
          <w:sz w:val="28"/>
          <w:szCs w:val="28"/>
          <w:lang w:val="el-GR"/>
        </w:rPr>
        <w:t xml:space="preserve"> </w:t>
      </w:r>
      <w:r w:rsidR="0063580C">
        <w:rPr>
          <w:rFonts w:ascii="Bookman Old Style" w:hAnsi="Bookman Old Style"/>
          <w:sz w:val="28"/>
          <w:szCs w:val="28"/>
          <w:lang w:val="el-GR"/>
        </w:rPr>
        <w:t xml:space="preserve">υπόθεση </w:t>
      </w:r>
      <w:r w:rsidR="004B2C20">
        <w:rPr>
          <w:rFonts w:ascii="Bookman Old Style" w:hAnsi="Bookman Old Style"/>
          <w:sz w:val="28"/>
          <w:szCs w:val="28"/>
          <w:lang w:val="el-GR"/>
        </w:rPr>
        <w:t xml:space="preserve">του Δικαστηρίου της Ευρωπαϊκής Ένωσης </w:t>
      </w:r>
      <w:r w:rsidR="0063580C" w:rsidRPr="0063580C">
        <w:rPr>
          <w:rFonts w:ascii="Bookman Old Style" w:hAnsi="Bookman Old Style"/>
          <w:b/>
          <w:bCs/>
          <w:i/>
          <w:iCs/>
          <w:sz w:val="28"/>
          <w:szCs w:val="28"/>
          <w:lang w:val="en-GB"/>
        </w:rPr>
        <w:t>Digital</w:t>
      </w:r>
      <w:r w:rsidR="0063580C" w:rsidRPr="0063580C">
        <w:rPr>
          <w:rFonts w:ascii="Bookman Old Style" w:hAnsi="Bookman Old Style"/>
          <w:b/>
          <w:bCs/>
          <w:i/>
          <w:iCs/>
          <w:sz w:val="28"/>
          <w:szCs w:val="28"/>
          <w:lang w:val="el-GR"/>
        </w:rPr>
        <w:t xml:space="preserve"> </w:t>
      </w:r>
      <w:r w:rsidR="0063580C" w:rsidRPr="0063580C">
        <w:rPr>
          <w:rFonts w:ascii="Bookman Old Style" w:hAnsi="Bookman Old Style"/>
          <w:b/>
          <w:bCs/>
          <w:i/>
          <w:iCs/>
          <w:sz w:val="28"/>
          <w:szCs w:val="28"/>
          <w:lang w:val="en-GB"/>
        </w:rPr>
        <w:t>Rights</w:t>
      </w:r>
      <w:r w:rsidR="0063580C" w:rsidRPr="0063580C">
        <w:rPr>
          <w:rFonts w:ascii="Bookman Old Style" w:hAnsi="Bookman Old Style"/>
          <w:b/>
          <w:bCs/>
          <w:i/>
          <w:iCs/>
          <w:sz w:val="28"/>
          <w:szCs w:val="28"/>
          <w:lang w:val="el-GR"/>
        </w:rPr>
        <w:t xml:space="preserve"> </w:t>
      </w:r>
      <w:r w:rsidR="0063580C" w:rsidRPr="0063580C">
        <w:rPr>
          <w:rFonts w:ascii="Bookman Old Style" w:hAnsi="Bookman Old Style"/>
          <w:b/>
          <w:bCs/>
          <w:i/>
          <w:iCs/>
          <w:sz w:val="28"/>
          <w:szCs w:val="28"/>
          <w:lang w:val="en-GB"/>
        </w:rPr>
        <w:t>Ireland</w:t>
      </w:r>
      <w:r w:rsidR="0063580C" w:rsidRPr="0063580C">
        <w:rPr>
          <w:rFonts w:ascii="Bookman Old Style" w:hAnsi="Bookman Old Style"/>
          <w:sz w:val="28"/>
          <w:szCs w:val="28"/>
          <w:lang w:val="el-GR"/>
        </w:rPr>
        <w:t xml:space="preserve">, </w:t>
      </w:r>
      <w:r w:rsidR="0063580C">
        <w:rPr>
          <w:rFonts w:ascii="Bookman Old Style" w:hAnsi="Bookman Old Style"/>
          <w:sz w:val="28"/>
          <w:szCs w:val="28"/>
          <w:lang w:val="en-GB"/>
        </w:rPr>
        <w:t>C</w:t>
      </w:r>
      <w:r w:rsidR="0063580C" w:rsidRPr="0063580C">
        <w:rPr>
          <w:rFonts w:ascii="Bookman Old Style" w:hAnsi="Bookman Old Style"/>
          <w:sz w:val="28"/>
          <w:szCs w:val="28"/>
          <w:lang w:val="el-GR"/>
        </w:rPr>
        <w:t xml:space="preserve">-293-12 </w:t>
      </w:r>
      <w:r w:rsidR="0063580C">
        <w:rPr>
          <w:rFonts w:ascii="Bookman Old Style" w:hAnsi="Bookman Old Style"/>
          <w:sz w:val="28"/>
          <w:szCs w:val="28"/>
          <w:lang w:val="el-GR"/>
        </w:rPr>
        <w:t xml:space="preserve">και </w:t>
      </w:r>
      <w:r w:rsidR="0063580C">
        <w:rPr>
          <w:rFonts w:ascii="Bookman Old Style" w:hAnsi="Bookman Old Style"/>
          <w:sz w:val="28"/>
          <w:szCs w:val="28"/>
          <w:lang w:val="en-GB"/>
        </w:rPr>
        <w:t>C</w:t>
      </w:r>
      <w:r w:rsidR="0063580C" w:rsidRPr="0063580C">
        <w:rPr>
          <w:rFonts w:ascii="Bookman Old Style" w:hAnsi="Bookman Old Style"/>
          <w:sz w:val="28"/>
          <w:szCs w:val="28"/>
          <w:lang w:val="el-GR"/>
        </w:rPr>
        <w:t>-594-12,</w:t>
      </w:r>
      <w:r w:rsidR="0063580C">
        <w:rPr>
          <w:rFonts w:ascii="Bookman Old Style" w:hAnsi="Bookman Old Style"/>
          <w:sz w:val="28"/>
          <w:szCs w:val="28"/>
          <w:lang w:val="el-GR"/>
        </w:rPr>
        <w:t xml:space="preserve"> ημερ. 8.4.2014</w:t>
      </w:r>
      <w:r w:rsidR="0063580C" w:rsidRPr="0063580C">
        <w:rPr>
          <w:rFonts w:ascii="Bookman Old Style" w:hAnsi="Bookman Old Style"/>
          <w:sz w:val="28"/>
          <w:szCs w:val="28"/>
          <w:lang w:val="el-GR"/>
        </w:rPr>
        <w:t xml:space="preserve">, </w:t>
      </w:r>
      <w:r w:rsidR="0063580C">
        <w:rPr>
          <w:rFonts w:ascii="Bookman Old Style" w:hAnsi="Bookman Old Style"/>
          <w:sz w:val="28"/>
          <w:szCs w:val="28"/>
          <w:lang w:val="el-GR"/>
        </w:rPr>
        <w:t>και στο ακόλουθο διαφωτιστικό απόσπασμα</w:t>
      </w:r>
      <w:r w:rsidR="0063580C" w:rsidRPr="004B2C20">
        <w:rPr>
          <w:rFonts w:ascii="Bookman Old Style" w:hAnsi="Bookman Old Style"/>
          <w:sz w:val="28"/>
          <w:szCs w:val="28"/>
          <w:lang w:val="el-GR"/>
        </w:rPr>
        <w:t>:</w:t>
      </w:r>
    </w:p>
    <w:p w14:paraId="4BD2EA30" w14:textId="41FB1BD8" w:rsidR="0063580C" w:rsidRPr="0063580C" w:rsidRDefault="0063580C" w:rsidP="0037564B">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r w:rsidRPr="0063580C">
        <w:rPr>
          <w:rFonts w:ascii="Bookman Old Style" w:eastAsia="Times New Roman" w:hAnsi="Bookman Old Style" w:cs="Times New Roman"/>
          <w:color w:val="000000"/>
          <w:kern w:val="0"/>
          <w:sz w:val="28"/>
          <w:szCs w:val="28"/>
          <w:lang w:val="el-GR"/>
          <w14:ligatures w14:val="none"/>
        </w:rPr>
        <w:t>«</w:t>
      </w:r>
      <w:r w:rsidRPr="0063580C">
        <w:rPr>
          <w:rFonts w:ascii="Bookman Old Style" w:eastAsia="Times New Roman" w:hAnsi="Bookman Old Style" w:cs="Times New Roman"/>
          <w:i/>
          <w:iCs/>
          <w:color w:val="000000"/>
          <w:kern w:val="0"/>
          <w:sz w:val="28"/>
          <w:szCs w:val="28"/>
          <w:lang w:val="el-GR"/>
          <w14:ligatures w14:val="none"/>
        </w:rPr>
        <w:t>Η εκτίμηση της εγκυρότητας ενός μέτρου, το οποίο, ενώ επηρεάζει δικαιώματα, μπορεί να δικαιολογείται στο πλαίσιο της επιδίωξης κάποιου νόμιμου σκοπού, όπως η καταστολή του σοβαρού εγκλήματος, απολήγει, τελικά, σε ζήτημα αναλογικότητας. Το μέτρο, δηλαδή, δεν πρέπει να εκπίπτει των ορίων του απολύτως αναγκαίου για την επίτευξη του νομίμως επιδιωκόμενου σκοπού της νομοθεσίας. Η στοχευμένη διατήρηση δεδομένων σε αυτό φαίνεται να αποσκοπεί.</w:t>
      </w:r>
      <w:r w:rsidRPr="0063580C">
        <w:rPr>
          <w:rFonts w:ascii="Bookman Old Style" w:eastAsia="Times New Roman" w:hAnsi="Bookman Old Style" w:cs="Times New Roman"/>
          <w:color w:val="000000"/>
          <w:kern w:val="0"/>
          <w:sz w:val="28"/>
          <w:szCs w:val="28"/>
          <w:lang w:val="el-GR"/>
          <w14:ligatures w14:val="none"/>
        </w:rPr>
        <w:t>»</w:t>
      </w:r>
    </w:p>
    <w:p w14:paraId="042FD2EE" w14:textId="77777777" w:rsidR="0063580C" w:rsidRPr="0063580C" w:rsidRDefault="0063580C" w:rsidP="0063580C">
      <w:pPr>
        <w:spacing w:after="0" w:line="240" w:lineRule="auto"/>
        <w:jc w:val="both"/>
        <w:rPr>
          <w:rFonts w:ascii="Bookman Old Style" w:eastAsia="Times New Roman" w:hAnsi="Bookman Old Style" w:cs="Times New Roman"/>
          <w:color w:val="000000"/>
          <w:kern w:val="0"/>
          <w:sz w:val="28"/>
          <w:szCs w:val="28"/>
          <w:lang w:val="el-GR"/>
          <w14:ligatures w14:val="none"/>
        </w:rPr>
      </w:pPr>
    </w:p>
    <w:p w14:paraId="55724C07" w14:textId="2AF2C08C" w:rsidR="009D371F" w:rsidRDefault="0063580C" w:rsidP="0037564B">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FB6697">
        <w:rPr>
          <w:rFonts w:ascii="Bookman Old Style" w:hAnsi="Bookman Old Style"/>
          <w:sz w:val="28"/>
          <w:szCs w:val="28"/>
          <w:lang w:val="el-GR"/>
        </w:rPr>
        <w:t xml:space="preserve">Από τη στιγμή που το Σύνταγμα έτυχε τροποποίησης για να παρέχει τη δυνατότητα πρόσβασης σε επικοινωνία και στην υπό κρίση περίπτωση </w:t>
      </w:r>
      <w:r w:rsidR="00F1728A">
        <w:rPr>
          <w:rFonts w:ascii="Bookman Old Style" w:hAnsi="Bookman Old Style"/>
          <w:sz w:val="28"/>
          <w:szCs w:val="28"/>
          <w:lang w:val="el-GR"/>
        </w:rPr>
        <w:t xml:space="preserve">η έκδοση του </w:t>
      </w:r>
      <w:r w:rsidR="00FB6697">
        <w:rPr>
          <w:rFonts w:ascii="Bookman Old Style" w:hAnsi="Bookman Old Style"/>
          <w:sz w:val="28"/>
          <w:szCs w:val="28"/>
          <w:lang w:val="el-GR"/>
        </w:rPr>
        <w:t xml:space="preserve">αιτούμενου </w:t>
      </w:r>
      <w:r w:rsidR="00F1728A">
        <w:rPr>
          <w:rFonts w:ascii="Bookman Old Style" w:hAnsi="Bookman Old Style"/>
          <w:sz w:val="28"/>
          <w:szCs w:val="28"/>
          <w:lang w:val="el-GR"/>
        </w:rPr>
        <w:t xml:space="preserve">διατάγματος κρίθηκε απολύτως δικαιολογημένη, το δημόσιο συμφέρον υπερτερεί έναντι του </w:t>
      </w:r>
      <w:r w:rsidR="00F1728A">
        <w:rPr>
          <w:rFonts w:ascii="Bookman Old Style" w:hAnsi="Bookman Old Style"/>
          <w:sz w:val="28"/>
          <w:szCs w:val="28"/>
          <w:lang w:val="el-GR"/>
        </w:rPr>
        <w:lastRenderedPageBreak/>
        <w:t xml:space="preserve">επαγγελματικού απορρήτου το οποίο επικαλείται η πλευρά των Αιτητών. </w:t>
      </w:r>
      <w:r w:rsidR="002704A7" w:rsidRPr="00D1393E">
        <w:rPr>
          <w:rFonts w:ascii="Bookman Old Style" w:hAnsi="Bookman Old Style"/>
          <w:sz w:val="28"/>
          <w:szCs w:val="28"/>
          <w:lang w:val="el-GR"/>
        </w:rPr>
        <w:t xml:space="preserve">Το </w:t>
      </w:r>
      <w:r w:rsidR="002704A7" w:rsidRPr="00D1393E">
        <w:rPr>
          <w:rFonts w:ascii="Bookman Old Style" w:hAnsi="Bookman Old Style"/>
          <w:b/>
          <w:bCs/>
          <w:i/>
          <w:iCs/>
          <w:sz w:val="28"/>
          <w:szCs w:val="28"/>
          <w:lang w:val="el-GR"/>
        </w:rPr>
        <w:t>άρθρο 16(1) του Ν.92(Ι)/1996</w:t>
      </w:r>
      <w:r w:rsidR="002704A7" w:rsidRPr="00D1393E">
        <w:rPr>
          <w:rFonts w:ascii="Bookman Old Style" w:hAnsi="Bookman Old Style"/>
          <w:sz w:val="28"/>
          <w:szCs w:val="28"/>
          <w:lang w:val="el-GR"/>
        </w:rPr>
        <w:t xml:space="preserve"> προνοεί ότι το περιεχόμενο ιδιωτικής επικοινωνίας μεταξύ δικηγόρου και πελάτη το οποίο αποτελεί απόρρητο, σύμφωνα με τις διατάξεις του περί Δικηγόρων Νόμου και τους περί Δεοντολογίας των Δικηγόρων Κανονισμ</w:t>
      </w:r>
      <w:r w:rsidR="006720A3" w:rsidRPr="00D1393E">
        <w:rPr>
          <w:rFonts w:ascii="Bookman Old Style" w:hAnsi="Bookman Old Style"/>
          <w:sz w:val="28"/>
          <w:szCs w:val="28"/>
          <w:lang w:val="el-GR"/>
        </w:rPr>
        <w:t>ούς</w:t>
      </w:r>
      <w:r w:rsidR="002704A7" w:rsidRPr="00D1393E">
        <w:rPr>
          <w:rFonts w:ascii="Bookman Old Style" w:hAnsi="Bookman Old Style"/>
          <w:sz w:val="28"/>
          <w:szCs w:val="28"/>
          <w:lang w:val="el-GR"/>
        </w:rPr>
        <w:t>, δεν δύναται να γίνει αποδεκτό ως μαρτυρία σε οποιαδήποτε ποινική ή πολιτική διαδικασία.</w:t>
      </w:r>
    </w:p>
    <w:p w14:paraId="56632550" w14:textId="2C0B06E5" w:rsidR="00FA65FA" w:rsidRDefault="006461F5" w:rsidP="0037564B">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E66D8F">
        <w:rPr>
          <w:rFonts w:ascii="Bookman Old Style" w:hAnsi="Bookman Old Style"/>
          <w:sz w:val="28"/>
          <w:szCs w:val="28"/>
          <w:lang w:val="el-GR"/>
        </w:rPr>
        <w:t>Κ</w:t>
      </w:r>
      <w:r w:rsidR="002A20EE">
        <w:rPr>
          <w:rFonts w:ascii="Bookman Old Style" w:hAnsi="Bookman Old Style"/>
          <w:sz w:val="28"/>
          <w:szCs w:val="28"/>
          <w:lang w:val="el-GR"/>
        </w:rPr>
        <w:t xml:space="preserve">ατά την έκδοση και για σκοπούς του διατάγματος </w:t>
      </w:r>
      <w:r w:rsidR="00846C98">
        <w:rPr>
          <w:rFonts w:ascii="Bookman Old Style" w:hAnsi="Bookman Old Style"/>
          <w:sz w:val="28"/>
          <w:szCs w:val="28"/>
          <w:lang w:val="el-GR"/>
        </w:rPr>
        <w:t>δεν τίθετο θέμα επιβολής οποιωνδήποτε όρων ή περιορισμών για τη</w:t>
      </w:r>
      <w:r w:rsidR="00E66D8F">
        <w:rPr>
          <w:rFonts w:ascii="Bookman Old Style" w:hAnsi="Bookman Old Style"/>
          <w:sz w:val="28"/>
          <w:szCs w:val="28"/>
          <w:lang w:val="el-GR"/>
        </w:rPr>
        <w:t xml:space="preserve"> μη πρόσβαση σε δεδομένα που σχετίζονται με την προσωπική και οικογενειακή ζωή των Αιτητών. Το διάταγμα αποσκοπεί στην πρόσβαση σε δεδομένα τα οποία αφορούν αποκλειστικά και μόνο τα αδικήματα διαφθοράς. Οποιαδήποτε ενέργεια σε σχέση με τα εν λόγω τεκμήρια η οποία συνιστά παραβίαση </w:t>
      </w:r>
      <w:r w:rsidR="007125DF">
        <w:rPr>
          <w:rFonts w:ascii="Bookman Old Style" w:hAnsi="Bookman Old Style"/>
          <w:sz w:val="28"/>
          <w:szCs w:val="28"/>
          <w:lang w:val="el-GR"/>
        </w:rPr>
        <w:t xml:space="preserve">άλλου </w:t>
      </w:r>
      <w:r w:rsidR="00E66D8F">
        <w:rPr>
          <w:rFonts w:ascii="Bookman Old Style" w:hAnsi="Bookman Old Style"/>
          <w:sz w:val="28"/>
          <w:szCs w:val="28"/>
          <w:lang w:val="el-GR"/>
        </w:rPr>
        <w:t xml:space="preserve">θεμελιώδους δικαιώματος σαφώς και δεν επιτρέπεται και σε τέτοια περίπτωση θα μπορούν να ληφθούν τα κατάλληλα μέτρα προς τούτο. </w:t>
      </w:r>
    </w:p>
    <w:p w14:paraId="2D33B782" w14:textId="1CB9EA16" w:rsidR="00F1728A" w:rsidRDefault="00744DDA" w:rsidP="0037564B">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00F1728A">
        <w:rPr>
          <w:rFonts w:ascii="Bookman Old Style" w:hAnsi="Bookman Old Style"/>
          <w:sz w:val="28"/>
          <w:szCs w:val="28"/>
          <w:lang w:val="el-GR"/>
        </w:rPr>
        <w:t xml:space="preserve">Τέλος, </w:t>
      </w:r>
      <w:r w:rsidR="001B54B5">
        <w:rPr>
          <w:rFonts w:ascii="Bookman Old Style" w:hAnsi="Bookman Old Style"/>
          <w:sz w:val="28"/>
          <w:szCs w:val="28"/>
          <w:lang w:val="el-GR"/>
        </w:rPr>
        <w:t xml:space="preserve">δεν έχει καταδειχθεί συζητήσιμη υπόθεση περί της καταχρηστικότητας της έκδοσης του υπό κρίση διατάγματος. Με </w:t>
      </w:r>
      <w:r w:rsidR="00886C31">
        <w:rPr>
          <w:rFonts w:ascii="Bookman Old Style" w:hAnsi="Bookman Old Style"/>
          <w:sz w:val="28"/>
          <w:szCs w:val="28"/>
          <w:lang w:val="el-GR"/>
        </w:rPr>
        <w:t xml:space="preserve">βάση το περιεχόμενο του όρκου </w:t>
      </w:r>
      <w:r w:rsidR="001B54B5">
        <w:rPr>
          <w:rFonts w:ascii="Bookman Old Style" w:hAnsi="Bookman Old Style"/>
          <w:sz w:val="28"/>
          <w:szCs w:val="28"/>
          <w:lang w:val="el-GR"/>
        </w:rPr>
        <w:t xml:space="preserve">προκύπτει </w:t>
      </w:r>
      <w:r w:rsidR="00886C31">
        <w:rPr>
          <w:rFonts w:ascii="Bookman Old Style" w:hAnsi="Bookman Old Style"/>
          <w:sz w:val="28"/>
          <w:szCs w:val="28"/>
          <w:lang w:val="el-GR"/>
        </w:rPr>
        <w:t xml:space="preserve">ότι τα προηγούμενα εκδοθέντα διατάγματα πρόσβασης σε επικοινωνία στα εν λόγω τεκμήρια </w:t>
      </w:r>
      <w:r w:rsidR="00886C31">
        <w:rPr>
          <w:rFonts w:ascii="Bookman Old Style" w:hAnsi="Bookman Old Style"/>
          <w:sz w:val="28"/>
          <w:szCs w:val="28"/>
          <w:lang w:val="el-GR"/>
        </w:rPr>
        <w:lastRenderedPageBreak/>
        <w:t xml:space="preserve">αφορούσαν άλλα πρόσωπα τα οποία θεωρούνταν  ύποπτα και τα οποία φαίνεται ότι είχαν επικοινωνία </w:t>
      </w:r>
      <w:r w:rsidR="00FF6748">
        <w:rPr>
          <w:rFonts w:ascii="Bookman Old Style" w:hAnsi="Bookman Old Style"/>
          <w:sz w:val="28"/>
          <w:szCs w:val="28"/>
          <w:lang w:val="el-GR"/>
        </w:rPr>
        <w:t xml:space="preserve">και </w:t>
      </w:r>
      <w:r w:rsidR="00886C31">
        <w:rPr>
          <w:rFonts w:ascii="Bookman Old Style" w:hAnsi="Bookman Old Style"/>
          <w:sz w:val="28"/>
          <w:szCs w:val="28"/>
          <w:lang w:val="el-GR"/>
        </w:rPr>
        <w:t xml:space="preserve">με τα πρόσωπα τα οποία κατονομάζονται στην αίτηση, ήτοι τους Αιτητές. Επομένως, δεν μπορεί να λεχθεί ότι η Αστυνομία επιζητεί το ίδιο διάταγμα για τα ίδια τεκμήρια και </w:t>
      </w:r>
      <w:r w:rsidR="00FF6748">
        <w:rPr>
          <w:rFonts w:ascii="Bookman Old Style" w:hAnsi="Bookman Old Style"/>
          <w:sz w:val="28"/>
          <w:szCs w:val="28"/>
          <w:lang w:val="el-GR"/>
        </w:rPr>
        <w:t xml:space="preserve">συνακόλουθα </w:t>
      </w:r>
      <w:r w:rsidR="00886C31">
        <w:rPr>
          <w:rFonts w:ascii="Bookman Old Style" w:hAnsi="Bookman Old Style"/>
          <w:sz w:val="28"/>
          <w:szCs w:val="28"/>
          <w:lang w:val="el-GR"/>
        </w:rPr>
        <w:t xml:space="preserve">ότι η έκδοση του υπό κρίση διατάγματος δεν ήταν αναγκαία. </w:t>
      </w:r>
      <w:r w:rsidR="001D6B48">
        <w:rPr>
          <w:rFonts w:ascii="Bookman Old Style" w:hAnsi="Bookman Old Style"/>
          <w:sz w:val="28"/>
          <w:szCs w:val="28"/>
          <w:lang w:val="el-GR"/>
        </w:rPr>
        <w:t xml:space="preserve">Σαφώς το διάταγμα δεν αφορά σε περιεχόμενο επικοινωνίας το οποίο λήφθηκε δυνάμει προηγούμενων διαταγμάτων, και εν πάση περιπτώσει </w:t>
      </w:r>
      <w:r w:rsidR="00285E75">
        <w:rPr>
          <w:rFonts w:ascii="Bookman Old Style" w:hAnsi="Bookman Old Style"/>
          <w:sz w:val="28"/>
          <w:szCs w:val="28"/>
          <w:lang w:val="el-GR"/>
        </w:rPr>
        <w:t xml:space="preserve">οποιοδήποτε περιεχόμενο έχει ληφθεί κατά παράβαση του Συντάγματος ή </w:t>
      </w:r>
      <w:r w:rsidR="00534CB7">
        <w:rPr>
          <w:rFonts w:ascii="Bookman Old Style" w:hAnsi="Bookman Old Style"/>
          <w:sz w:val="28"/>
          <w:szCs w:val="28"/>
          <w:lang w:val="el-GR"/>
        </w:rPr>
        <w:t>Ν</w:t>
      </w:r>
      <w:r w:rsidR="00285E75">
        <w:rPr>
          <w:rFonts w:ascii="Bookman Old Style" w:hAnsi="Bookman Old Style"/>
          <w:sz w:val="28"/>
          <w:szCs w:val="28"/>
          <w:lang w:val="el-GR"/>
        </w:rPr>
        <w:t xml:space="preserve">όμου και δεν αποτελεί αποδεκτή μαρτυρία, τότε σαφώς και θα αποκλεισθεί. Άλλωστε, </w:t>
      </w:r>
      <w:r w:rsidR="001D6B48">
        <w:rPr>
          <w:rFonts w:ascii="Bookman Old Style" w:hAnsi="Bookman Old Style"/>
          <w:sz w:val="28"/>
          <w:szCs w:val="28"/>
          <w:lang w:val="el-GR"/>
        </w:rPr>
        <w:t xml:space="preserve">το ζήτημα της αναδρομικότητας του Νόμου και του επιτρεπτού της μαρτυρίας θα αποτελέσει αντικείμενο της διά κλήσεως αίτησης για την οποία κρίνεται δικαιολογημένη η έγκριση της παρούσας Αίτησης. </w:t>
      </w:r>
    </w:p>
    <w:p w14:paraId="20ADEE16" w14:textId="4609CB0D" w:rsidR="00617A1C" w:rsidRDefault="00886C31" w:rsidP="0037564B">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Για όλους τους λόγους που αναφέρονται ανωτέρω, </w:t>
      </w:r>
      <w:r w:rsidR="008012BB">
        <w:rPr>
          <w:rFonts w:ascii="Bookman Old Style" w:hAnsi="Bookman Old Style"/>
          <w:sz w:val="28"/>
          <w:szCs w:val="28"/>
          <w:lang w:val="el-GR"/>
        </w:rPr>
        <w:t xml:space="preserve">περιορίζομαι στη διαπίστωση της ύπαρξης συζητήσιμης υπόθεσης, χωρίς να αποφαίνομαι επί της ουσίας των ζητημάτων που εγείρονται, για χορήγηση </w:t>
      </w:r>
      <w:r>
        <w:rPr>
          <w:rFonts w:ascii="Bookman Old Style" w:hAnsi="Bookman Old Style"/>
          <w:sz w:val="28"/>
          <w:szCs w:val="28"/>
          <w:lang w:val="el-GR"/>
        </w:rPr>
        <w:t xml:space="preserve">άδειας για καταχώριση αίτησης για </w:t>
      </w:r>
      <w:r>
        <w:rPr>
          <w:rFonts w:ascii="Bookman Old Style" w:hAnsi="Bookman Old Style"/>
          <w:sz w:val="28"/>
          <w:szCs w:val="28"/>
        </w:rPr>
        <w:t>Certiorari</w:t>
      </w:r>
      <w:r w:rsidRPr="00886C31">
        <w:rPr>
          <w:rFonts w:ascii="Bookman Old Style" w:hAnsi="Bookman Old Style"/>
          <w:sz w:val="28"/>
          <w:szCs w:val="28"/>
          <w:lang w:val="el-GR"/>
        </w:rPr>
        <w:t xml:space="preserve"> </w:t>
      </w:r>
      <w:r>
        <w:rPr>
          <w:rFonts w:ascii="Bookman Old Style" w:hAnsi="Bookman Old Style"/>
          <w:sz w:val="28"/>
          <w:szCs w:val="28"/>
          <w:lang w:val="el-GR"/>
        </w:rPr>
        <w:t>αναφορικά με τους προβαλλόμενους υπό τις παραγράφους 3.1.Α και 3.1.Β μόνο</w:t>
      </w:r>
      <w:r w:rsidR="0013208D" w:rsidRPr="0013208D">
        <w:rPr>
          <w:rFonts w:ascii="Bookman Old Style" w:hAnsi="Bookman Old Style"/>
          <w:sz w:val="28"/>
          <w:szCs w:val="28"/>
          <w:lang w:val="el-GR"/>
        </w:rPr>
        <w:t xml:space="preserve"> </w:t>
      </w:r>
      <w:r w:rsidR="0013208D">
        <w:rPr>
          <w:rFonts w:ascii="Bookman Old Style" w:hAnsi="Bookman Old Style"/>
          <w:sz w:val="28"/>
          <w:szCs w:val="28"/>
          <w:lang w:val="el-GR"/>
        </w:rPr>
        <w:t>και αναφορικά με την περίοδο μεταξύ του 2011 και τις 30.12.2015</w:t>
      </w:r>
      <w:r>
        <w:rPr>
          <w:rFonts w:ascii="Bookman Old Style" w:hAnsi="Bookman Old Style"/>
          <w:sz w:val="28"/>
          <w:szCs w:val="28"/>
          <w:lang w:val="el-GR"/>
        </w:rPr>
        <w:t xml:space="preserve">. </w:t>
      </w:r>
      <w:r w:rsidR="008012BB">
        <w:rPr>
          <w:rFonts w:ascii="Bookman Old Style" w:hAnsi="Bookman Old Style"/>
          <w:sz w:val="28"/>
          <w:szCs w:val="28"/>
          <w:lang w:val="el-GR"/>
        </w:rPr>
        <w:lastRenderedPageBreak/>
        <w:t xml:space="preserve">Διαφαίνεται επίσης ότι δεν προσφέρεται στους Αιτητές άλλο ένδικο μέσο ή εναλλακτική θεραπεία. </w:t>
      </w:r>
    </w:p>
    <w:p w14:paraId="2DD02374" w14:textId="2C138398" w:rsidR="00D94FD5" w:rsidRPr="008012BB" w:rsidRDefault="00D94FD5" w:rsidP="0037564B">
      <w:pPr>
        <w:spacing w:after="0" w:line="480" w:lineRule="auto"/>
        <w:ind w:firstLine="567"/>
        <w:jc w:val="both"/>
        <w:rPr>
          <w:rFonts w:ascii="Bookman Old Style" w:eastAsia="Times New Roman" w:hAnsi="Bookman Old Style" w:cs="Times New Roman"/>
          <w:color w:val="000000"/>
          <w:kern w:val="0"/>
          <w:sz w:val="28"/>
          <w:szCs w:val="28"/>
          <w:lang w:val="el-GR"/>
          <w14:ligatures w14:val="none"/>
        </w:rPr>
      </w:pPr>
      <w:r w:rsidRPr="008012BB">
        <w:rPr>
          <w:rFonts w:ascii="Bookman Old Style" w:eastAsia="Times New Roman" w:hAnsi="Bookman Old Style" w:cs="Times New Roman"/>
          <w:color w:val="000000"/>
          <w:kern w:val="0"/>
          <w:sz w:val="28"/>
          <w:szCs w:val="28"/>
          <w:lang w:val="el-GR"/>
          <w14:ligatures w14:val="none"/>
        </w:rPr>
        <w:t xml:space="preserve">Η Αίτηση εγκρίνεται ως το παρακλητικό (α) </w:t>
      </w:r>
      <w:r w:rsidR="008012BB">
        <w:rPr>
          <w:rFonts w:ascii="Bookman Old Style" w:eastAsia="Times New Roman" w:hAnsi="Bookman Old Style" w:cs="Times New Roman"/>
          <w:color w:val="000000"/>
          <w:kern w:val="0"/>
          <w:sz w:val="28"/>
          <w:szCs w:val="28"/>
          <w:lang w:val="el-GR"/>
          <w14:ligatures w14:val="none"/>
        </w:rPr>
        <w:t xml:space="preserve">αυτής </w:t>
      </w:r>
      <w:r w:rsidRPr="008012BB">
        <w:rPr>
          <w:rFonts w:ascii="Bookman Old Style" w:eastAsia="Times New Roman" w:hAnsi="Bookman Old Style" w:cs="Times New Roman"/>
          <w:color w:val="000000"/>
          <w:kern w:val="0"/>
          <w:sz w:val="28"/>
          <w:szCs w:val="28"/>
          <w:lang w:val="el-GR"/>
          <w14:ligatures w14:val="none"/>
        </w:rPr>
        <w:t xml:space="preserve">για τους νομικούς </w:t>
      </w:r>
      <w:r w:rsidR="008012BB">
        <w:rPr>
          <w:rFonts w:ascii="Bookman Old Style" w:eastAsia="Times New Roman" w:hAnsi="Bookman Old Style" w:cs="Times New Roman"/>
          <w:color w:val="000000"/>
          <w:kern w:val="0"/>
          <w:sz w:val="28"/>
          <w:szCs w:val="28"/>
          <w:lang w:val="el-GR"/>
          <w14:ligatures w14:val="none"/>
        </w:rPr>
        <w:t>λ</w:t>
      </w:r>
      <w:r w:rsidRPr="008012BB">
        <w:rPr>
          <w:rFonts w:ascii="Bookman Old Style" w:eastAsia="Times New Roman" w:hAnsi="Bookman Old Style" w:cs="Times New Roman"/>
          <w:color w:val="000000"/>
          <w:kern w:val="0"/>
          <w:sz w:val="28"/>
          <w:szCs w:val="28"/>
          <w:lang w:val="el-GR"/>
          <w14:ligatures w14:val="none"/>
        </w:rPr>
        <w:t xml:space="preserve">όγους που τίθενται στην Έκθεση </w:t>
      </w:r>
      <w:r w:rsidR="008012BB">
        <w:rPr>
          <w:rFonts w:ascii="Bookman Old Style" w:eastAsia="Times New Roman" w:hAnsi="Bookman Old Style" w:cs="Times New Roman"/>
          <w:color w:val="000000"/>
          <w:kern w:val="0"/>
          <w:sz w:val="28"/>
          <w:szCs w:val="28"/>
          <w:lang w:val="el-GR"/>
          <w14:ligatures w14:val="none"/>
        </w:rPr>
        <w:t xml:space="preserve">στις </w:t>
      </w:r>
      <w:r w:rsidR="008012BB">
        <w:rPr>
          <w:rFonts w:ascii="Bookman Old Style" w:hAnsi="Bookman Old Style"/>
          <w:sz w:val="28"/>
          <w:szCs w:val="28"/>
          <w:lang w:val="el-GR"/>
        </w:rPr>
        <w:t>παραγράφους 3.1.Α και 3.1.Β</w:t>
      </w:r>
      <w:r w:rsidR="00007DE8">
        <w:rPr>
          <w:rFonts w:ascii="Bookman Old Style" w:hAnsi="Bookman Old Style"/>
          <w:sz w:val="28"/>
          <w:szCs w:val="28"/>
          <w:lang w:val="el-GR"/>
        </w:rPr>
        <w:t xml:space="preserve"> αναφορικά με την περίοδο μεταξύ του 2011 και τις 30.12.2015</w:t>
      </w:r>
      <w:r w:rsidR="008012BB">
        <w:rPr>
          <w:rFonts w:ascii="Bookman Old Style" w:hAnsi="Bookman Old Style"/>
          <w:sz w:val="28"/>
          <w:szCs w:val="28"/>
          <w:lang w:val="el-GR"/>
        </w:rPr>
        <w:t>.</w:t>
      </w:r>
    </w:p>
    <w:p w14:paraId="30C23DE7" w14:textId="45CF2520" w:rsidR="00D94FD5" w:rsidRDefault="00D94FD5"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sidRPr="008012BB">
        <w:rPr>
          <w:rFonts w:ascii="Bookman Old Style" w:eastAsia="Times New Roman" w:hAnsi="Bookman Old Style" w:cs="Times New Roman"/>
          <w:color w:val="000000"/>
          <w:kern w:val="0"/>
          <w:sz w:val="28"/>
          <w:szCs w:val="28"/>
          <w:lang w:val="el-GR"/>
          <w14:ligatures w14:val="none"/>
        </w:rPr>
        <w:t xml:space="preserve">Η </w:t>
      </w:r>
      <w:r w:rsidR="00161984">
        <w:rPr>
          <w:rFonts w:ascii="Bookman Old Style" w:eastAsia="Times New Roman" w:hAnsi="Bookman Old Style" w:cs="Times New Roman"/>
          <w:color w:val="000000"/>
          <w:kern w:val="0"/>
          <w:sz w:val="28"/>
          <w:szCs w:val="28"/>
          <w:lang w:val="el-GR"/>
          <w14:ligatures w14:val="none"/>
        </w:rPr>
        <w:t>α</w:t>
      </w:r>
      <w:r w:rsidRPr="008012BB">
        <w:rPr>
          <w:rFonts w:ascii="Bookman Old Style" w:eastAsia="Times New Roman" w:hAnsi="Bookman Old Style" w:cs="Times New Roman"/>
          <w:color w:val="000000"/>
          <w:kern w:val="0"/>
          <w:sz w:val="28"/>
          <w:szCs w:val="28"/>
          <w:lang w:val="el-GR"/>
          <w14:ligatures w14:val="none"/>
        </w:rPr>
        <w:t xml:space="preserve">ίτηση δια κλήσεως να καταχωρηθεί εντός </w:t>
      </w:r>
      <w:r w:rsidR="008012BB">
        <w:rPr>
          <w:rFonts w:ascii="Bookman Old Style" w:eastAsia="Times New Roman" w:hAnsi="Bookman Old Style" w:cs="Times New Roman"/>
          <w:color w:val="000000"/>
          <w:kern w:val="0"/>
          <w:sz w:val="28"/>
          <w:szCs w:val="28"/>
          <w:lang w:val="el-GR"/>
          <w14:ligatures w14:val="none"/>
        </w:rPr>
        <w:t>επτά</w:t>
      </w:r>
      <w:r w:rsidRPr="008012BB">
        <w:rPr>
          <w:rFonts w:ascii="Bookman Old Style" w:eastAsia="Times New Roman" w:hAnsi="Bookman Old Style" w:cs="Times New Roman"/>
          <w:color w:val="000000"/>
          <w:kern w:val="0"/>
          <w:sz w:val="28"/>
          <w:szCs w:val="28"/>
          <w:lang w:val="el-GR"/>
          <w14:ligatures w14:val="none"/>
        </w:rPr>
        <w:t xml:space="preserve"> ημερών από σήμερα και να επιδοθεί στον Έντιμο Γενικό Εισαγγελέα</w:t>
      </w:r>
      <w:r w:rsidR="00161984">
        <w:rPr>
          <w:rFonts w:ascii="Bookman Old Style" w:eastAsia="Times New Roman" w:hAnsi="Bookman Old Style" w:cs="Times New Roman"/>
          <w:color w:val="000000"/>
          <w:kern w:val="0"/>
          <w:sz w:val="28"/>
          <w:szCs w:val="28"/>
          <w:lang w:val="el-GR"/>
          <w14:ligatures w14:val="none"/>
        </w:rPr>
        <w:t xml:space="preserve"> τουλάχιστον τρεις μέρες πριν την ημερομηνία ορισμού της</w:t>
      </w:r>
      <w:r w:rsidRPr="008012BB">
        <w:rPr>
          <w:rFonts w:ascii="Bookman Old Style" w:eastAsia="Times New Roman" w:hAnsi="Bookman Old Style" w:cs="Times New Roman"/>
          <w:color w:val="000000"/>
          <w:kern w:val="0"/>
          <w:sz w:val="28"/>
          <w:szCs w:val="28"/>
          <w:lang w:val="el-GR"/>
          <w14:ligatures w14:val="none"/>
        </w:rPr>
        <w:t xml:space="preserve">. </w:t>
      </w:r>
      <w:r w:rsidR="00161984">
        <w:rPr>
          <w:rFonts w:ascii="Bookman Old Style" w:eastAsia="Times New Roman" w:hAnsi="Bookman Old Style" w:cs="Times New Roman"/>
          <w:color w:val="000000"/>
          <w:kern w:val="0"/>
          <w:sz w:val="28"/>
          <w:szCs w:val="28"/>
          <w:lang w:val="el-GR"/>
          <w14:ligatures w14:val="none"/>
        </w:rPr>
        <w:t xml:space="preserve">Εφόσον καταχωριστεί ως ανωτέρω, αυτή </w:t>
      </w:r>
      <w:r w:rsidR="00A83766">
        <w:rPr>
          <w:rFonts w:ascii="Bookman Old Style" w:eastAsia="Times New Roman" w:hAnsi="Bookman Old Style" w:cs="Times New Roman"/>
          <w:color w:val="000000"/>
          <w:kern w:val="0"/>
          <w:sz w:val="28"/>
          <w:szCs w:val="28"/>
          <w:lang w:val="el-GR"/>
          <w14:ligatures w14:val="none"/>
        </w:rPr>
        <w:t xml:space="preserve">να οριστεί </w:t>
      </w:r>
      <w:r w:rsidRPr="008012BB">
        <w:rPr>
          <w:rFonts w:ascii="Bookman Old Style" w:eastAsia="Times New Roman" w:hAnsi="Bookman Old Style" w:cs="Times New Roman"/>
          <w:color w:val="000000"/>
          <w:kern w:val="0"/>
          <w:sz w:val="28"/>
          <w:szCs w:val="28"/>
          <w:lang w:val="el-GR"/>
          <w14:ligatures w14:val="none"/>
        </w:rPr>
        <w:t xml:space="preserve">για </w:t>
      </w:r>
      <w:r w:rsidR="008012BB">
        <w:rPr>
          <w:rFonts w:ascii="Bookman Old Style" w:eastAsia="Times New Roman" w:hAnsi="Bookman Old Style" w:cs="Times New Roman"/>
          <w:color w:val="000000"/>
          <w:kern w:val="0"/>
          <w:sz w:val="28"/>
          <w:szCs w:val="28"/>
          <w:lang w:val="el-GR"/>
          <w14:ligatures w14:val="none"/>
        </w:rPr>
        <w:t>ο</w:t>
      </w:r>
      <w:r w:rsidRPr="008012BB">
        <w:rPr>
          <w:rFonts w:ascii="Bookman Old Style" w:eastAsia="Times New Roman" w:hAnsi="Bookman Old Style" w:cs="Times New Roman"/>
          <w:color w:val="000000"/>
          <w:kern w:val="0"/>
          <w:sz w:val="28"/>
          <w:szCs w:val="28"/>
          <w:lang w:val="el-GR"/>
          <w14:ligatures w14:val="none"/>
        </w:rPr>
        <w:t xml:space="preserve">δηγίες στις </w:t>
      </w:r>
      <w:r w:rsidR="001F1ABC">
        <w:rPr>
          <w:rFonts w:ascii="Bookman Old Style" w:eastAsia="Times New Roman" w:hAnsi="Bookman Old Style" w:cs="Times New Roman"/>
          <w:color w:val="000000"/>
          <w:kern w:val="0"/>
          <w:sz w:val="28"/>
          <w:szCs w:val="28"/>
          <w:lang w:val="el-GR"/>
          <w14:ligatures w14:val="none"/>
        </w:rPr>
        <w:t>21.</w:t>
      </w:r>
      <w:r w:rsidR="00465D5B">
        <w:rPr>
          <w:rFonts w:ascii="Bookman Old Style" w:eastAsia="Times New Roman" w:hAnsi="Bookman Old Style" w:cs="Times New Roman"/>
          <w:color w:val="000000"/>
          <w:kern w:val="0"/>
          <w:sz w:val="28"/>
          <w:szCs w:val="28"/>
          <w:lang w:val="el-GR"/>
          <w14:ligatures w14:val="none"/>
        </w:rPr>
        <w:t>11</w:t>
      </w:r>
      <w:r w:rsidR="001F1ABC">
        <w:rPr>
          <w:rFonts w:ascii="Bookman Old Style" w:eastAsia="Times New Roman" w:hAnsi="Bookman Old Style" w:cs="Times New Roman"/>
          <w:color w:val="000000"/>
          <w:kern w:val="0"/>
          <w:sz w:val="28"/>
          <w:szCs w:val="28"/>
          <w:lang w:val="el-GR"/>
          <w14:ligatures w14:val="none"/>
        </w:rPr>
        <w:t>.</w:t>
      </w:r>
      <w:r w:rsidRPr="008012BB">
        <w:rPr>
          <w:rFonts w:ascii="Bookman Old Style" w:eastAsia="Times New Roman" w:hAnsi="Bookman Old Style" w:cs="Times New Roman"/>
          <w:color w:val="000000"/>
          <w:kern w:val="0"/>
          <w:sz w:val="28"/>
          <w:szCs w:val="28"/>
          <w:lang w:val="el-GR"/>
          <w14:ligatures w14:val="none"/>
        </w:rPr>
        <w:t xml:space="preserve">2023 </w:t>
      </w:r>
      <w:r w:rsidR="008012BB">
        <w:rPr>
          <w:rFonts w:ascii="Bookman Old Style" w:eastAsia="Times New Roman" w:hAnsi="Bookman Old Style" w:cs="Times New Roman"/>
          <w:color w:val="000000"/>
          <w:kern w:val="0"/>
          <w:sz w:val="28"/>
          <w:szCs w:val="28"/>
          <w:lang w:val="el-GR"/>
          <w14:ligatures w14:val="none"/>
        </w:rPr>
        <w:t xml:space="preserve">στις </w:t>
      </w:r>
      <w:r w:rsidR="001F1ABC">
        <w:rPr>
          <w:rFonts w:ascii="Bookman Old Style" w:eastAsia="Times New Roman" w:hAnsi="Bookman Old Style" w:cs="Times New Roman"/>
          <w:color w:val="000000"/>
          <w:kern w:val="0"/>
          <w:sz w:val="28"/>
          <w:szCs w:val="28"/>
          <w:lang w:val="el-GR"/>
          <w14:ligatures w14:val="none"/>
        </w:rPr>
        <w:t>8</w:t>
      </w:r>
      <w:r w:rsidRPr="008012BB">
        <w:rPr>
          <w:rFonts w:ascii="Bookman Old Style" w:eastAsia="Times New Roman" w:hAnsi="Bookman Old Style" w:cs="Times New Roman"/>
          <w:color w:val="000000"/>
          <w:kern w:val="0"/>
          <w:sz w:val="28"/>
          <w:szCs w:val="28"/>
          <w:lang w:val="el-GR"/>
          <w14:ligatures w14:val="none"/>
        </w:rPr>
        <w:t>.</w:t>
      </w:r>
      <w:r w:rsidR="001F1ABC">
        <w:rPr>
          <w:rFonts w:ascii="Bookman Old Style" w:eastAsia="Times New Roman" w:hAnsi="Bookman Old Style" w:cs="Times New Roman"/>
          <w:color w:val="000000"/>
          <w:kern w:val="0"/>
          <w:sz w:val="28"/>
          <w:szCs w:val="28"/>
          <w:lang w:val="el-GR"/>
          <w14:ligatures w14:val="none"/>
        </w:rPr>
        <w:t>3</w:t>
      </w:r>
      <w:r w:rsidR="00E02B72">
        <w:rPr>
          <w:rFonts w:ascii="Bookman Old Style" w:eastAsia="Times New Roman" w:hAnsi="Bookman Old Style" w:cs="Times New Roman"/>
          <w:color w:val="000000"/>
          <w:kern w:val="0"/>
          <w:sz w:val="28"/>
          <w:szCs w:val="28"/>
          <w:lang w:val="el-GR"/>
          <w14:ligatures w14:val="none"/>
        </w:rPr>
        <w:t>0</w:t>
      </w:r>
      <w:r w:rsidRPr="008012BB">
        <w:rPr>
          <w:rFonts w:ascii="Bookman Old Style" w:eastAsia="Times New Roman" w:hAnsi="Bookman Old Style" w:cs="Times New Roman"/>
          <w:color w:val="000000"/>
          <w:kern w:val="0"/>
          <w:sz w:val="28"/>
          <w:szCs w:val="28"/>
          <w:lang w:val="el-GR"/>
          <w14:ligatures w14:val="none"/>
        </w:rPr>
        <w:t xml:space="preserve"> π.μ.</w:t>
      </w:r>
    </w:p>
    <w:p w14:paraId="2C204EBA" w14:textId="77777777" w:rsidR="0037564B" w:rsidRDefault="0037564B"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B4B3CF6" w14:textId="77777777" w:rsidR="00AB1D27" w:rsidRDefault="00AB1D27"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93F4A5A" w14:textId="77777777" w:rsidR="00AB1D27" w:rsidRDefault="00AB1D27"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1EA0801" w14:textId="51D4A00A" w:rsidR="0037564B" w:rsidRDefault="0037564B"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683A6263" w14:textId="77777777" w:rsidR="00AB1D27" w:rsidRDefault="00AB1D27" w:rsidP="0057284F">
      <w:pPr>
        <w:spacing w:before="240" w:after="0" w:line="480" w:lineRule="auto"/>
        <w:jc w:val="both"/>
        <w:rPr>
          <w:rFonts w:ascii="Bookman Old Style" w:eastAsia="Times New Roman" w:hAnsi="Bookman Old Style" w:cs="Times New Roman"/>
          <w:color w:val="000000"/>
          <w:kern w:val="0"/>
          <w:sz w:val="28"/>
          <w:szCs w:val="28"/>
          <w:lang w:val="el-GR"/>
          <w14:ligatures w14:val="none"/>
        </w:rPr>
      </w:pPr>
    </w:p>
    <w:p w14:paraId="2344BD62" w14:textId="77777777" w:rsidR="00AB1D27" w:rsidRDefault="00AB1D27"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4ACF8315" w14:textId="22DD6A53" w:rsidR="0037564B" w:rsidRPr="008012BB" w:rsidRDefault="0037564B" w:rsidP="0037564B">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/κβπ</w:t>
      </w:r>
    </w:p>
    <w:sectPr w:rsidR="0037564B" w:rsidRPr="008012BB" w:rsidSect="00AB1D27">
      <w:headerReference w:type="default" r:id="rId7"/>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BFF2" w14:textId="77777777" w:rsidR="00DD64C2" w:rsidRDefault="00DD64C2" w:rsidP="00433628">
      <w:pPr>
        <w:spacing w:after="0" w:line="240" w:lineRule="auto"/>
      </w:pPr>
      <w:r>
        <w:separator/>
      </w:r>
    </w:p>
  </w:endnote>
  <w:endnote w:type="continuationSeparator" w:id="0">
    <w:p w14:paraId="0D25E293" w14:textId="77777777" w:rsidR="00DD64C2" w:rsidRDefault="00DD64C2" w:rsidP="004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9188" w14:textId="77777777" w:rsidR="00DD64C2" w:rsidRDefault="00DD64C2" w:rsidP="00433628">
      <w:pPr>
        <w:spacing w:after="0" w:line="240" w:lineRule="auto"/>
      </w:pPr>
      <w:r>
        <w:separator/>
      </w:r>
    </w:p>
  </w:footnote>
  <w:footnote w:type="continuationSeparator" w:id="0">
    <w:p w14:paraId="19D7F002" w14:textId="77777777" w:rsidR="00DD64C2" w:rsidRDefault="00DD64C2" w:rsidP="0043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00882"/>
      <w:docPartObj>
        <w:docPartGallery w:val="Page Numbers (Top of Page)"/>
        <w:docPartUnique/>
      </w:docPartObj>
    </w:sdtPr>
    <w:sdtEndPr>
      <w:rPr>
        <w:noProof/>
      </w:rPr>
    </w:sdtEndPr>
    <w:sdtContent>
      <w:p w14:paraId="06D47EF3" w14:textId="5CBBE61A" w:rsidR="00433628" w:rsidRDefault="00433628">
        <w:pPr>
          <w:pStyle w:val="Header"/>
          <w:jc w:val="center"/>
        </w:pPr>
        <w:r>
          <w:fldChar w:fldCharType="begin"/>
        </w:r>
        <w:r>
          <w:instrText xml:space="preserve"> PAGE   \* MERGEFORMAT </w:instrText>
        </w:r>
        <w:r>
          <w:fldChar w:fldCharType="separate"/>
        </w:r>
        <w:r w:rsidR="00B11D07">
          <w:rPr>
            <w:noProof/>
          </w:rPr>
          <w:t>16</w:t>
        </w:r>
        <w:r>
          <w:rPr>
            <w:noProof/>
          </w:rPr>
          <w:fldChar w:fldCharType="end"/>
        </w:r>
      </w:p>
    </w:sdtContent>
  </w:sdt>
  <w:p w14:paraId="6E9CE1BD" w14:textId="77777777" w:rsidR="00433628" w:rsidRDefault="0043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52F0"/>
    <w:multiLevelType w:val="hybridMultilevel"/>
    <w:tmpl w:val="3208AB5C"/>
    <w:lvl w:ilvl="0" w:tplc="D604F32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D9684C"/>
    <w:multiLevelType w:val="hybridMultilevel"/>
    <w:tmpl w:val="F0FEC738"/>
    <w:lvl w:ilvl="0" w:tplc="5776CB9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94C1F"/>
    <w:multiLevelType w:val="hybridMultilevel"/>
    <w:tmpl w:val="09623A20"/>
    <w:lvl w:ilvl="0" w:tplc="D604F3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317069">
    <w:abstractNumId w:val="0"/>
  </w:num>
  <w:num w:numId="2" w16cid:durableId="1559434036">
    <w:abstractNumId w:val="2"/>
  </w:num>
  <w:num w:numId="3" w16cid:durableId="201688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2A"/>
    <w:rsid w:val="00007DE8"/>
    <w:rsid w:val="00037F91"/>
    <w:rsid w:val="00040175"/>
    <w:rsid w:val="000B1788"/>
    <w:rsid w:val="000E3048"/>
    <w:rsid w:val="00101C29"/>
    <w:rsid w:val="0010273C"/>
    <w:rsid w:val="00117532"/>
    <w:rsid w:val="00124193"/>
    <w:rsid w:val="0013208D"/>
    <w:rsid w:val="001329F4"/>
    <w:rsid w:val="00143912"/>
    <w:rsid w:val="00145223"/>
    <w:rsid w:val="00151558"/>
    <w:rsid w:val="00161984"/>
    <w:rsid w:val="001824FC"/>
    <w:rsid w:val="00187CD1"/>
    <w:rsid w:val="00190544"/>
    <w:rsid w:val="001A6F0B"/>
    <w:rsid w:val="001B54B5"/>
    <w:rsid w:val="001B5F19"/>
    <w:rsid w:val="001C0927"/>
    <w:rsid w:val="001D6B48"/>
    <w:rsid w:val="001F1ABC"/>
    <w:rsid w:val="00204117"/>
    <w:rsid w:val="002067CB"/>
    <w:rsid w:val="00221525"/>
    <w:rsid w:val="002308E7"/>
    <w:rsid w:val="00263ABC"/>
    <w:rsid w:val="002704A7"/>
    <w:rsid w:val="00285E75"/>
    <w:rsid w:val="002A20EE"/>
    <w:rsid w:val="002B70D6"/>
    <w:rsid w:val="002B73F6"/>
    <w:rsid w:val="002C3BA3"/>
    <w:rsid w:val="002D16AB"/>
    <w:rsid w:val="003100BD"/>
    <w:rsid w:val="00321190"/>
    <w:rsid w:val="0032196F"/>
    <w:rsid w:val="00332899"/>
    <w:rsid w:val="00332BF5"/>
    <w:rsid w:val="003569AE"/>
    <w:rsid w:val="003741C1"/>
    <w:rsid w:val="0037564B"/>
    <w:rsid w:val="00386FBF"/>
    <w:rsid w:val="003B4296"/>
    <w:rsid w:val="003B7DA1"/>
    <w:rsid w:val="003C7FA3"/>
    <w:rsid w:val="003D3C1A"/>
    <w:rsid w:val="003E01BC"/>
    <w:rsid w:val="003E097B"/>
    <w:rsid w:val="003F3F90"/>
    <w:rsid w:val="0040271D"/>
    <w:rsid w:val="0041048B"/>
    <w:rsid w:val="00433628"/>
    <w:rsid w:val="004447D9"/>
    <w:rsid w:val="0046149A"/>
    <w:rsid w:val="00465D5B"/>
    <w:rsid w:val="004678DE"/>
    <w:rsid w:val="00482B83"/>
    <w:rsid w:val="004B2C20"/>
    <w:rsid w:val="004C224B"/>
    <w:rsid w:val="004C3F0B"/>
    <w:rsid w:val="004C5AB3"/>
    <w:rsid w:val="004D0EB3"/>
    <w:rsid w:val="004D7333"/>
    <w:rsid w:val="004E6C2F"/>
    <w:rsid w:val="004F1C86"/>
    <w:rsid w:val="005018CC"/>
    <w:rsid w:val="0051135E"/>
    <w:rsid w:val="005170AC"/>
    <w:rsid w:val="00524125"/>
    <w:rsid w:val="0053162A"/>
    <w:rsid w:val="00534CB7"/>
    <w:rsid w:val="00537368"/>
    <w:rsid w:val="0056604A"/>
    <w:rsid w:val="0057284F"/>
    <w:rsid w:val="0059339D"/>
    <w:rsid w:val="005A4806"/>
    <w:rsid w:val="005A77B5"/>
    <w:rsid w:val="005B47CE"/>
    <w:rsid w:val="005E1C19"/>
    <w:rsid w:val="005F062A"/>
    <w:rsid w:val="00617A1C"/>
    <w:rsid w:val="0062070D"/>
    <w:rsid w:val="0063580C"/>
    <w:rsid w:val="00640359"/>
    <w:rsid w:val="00641A7B"/>
    <w:rsid w:val="00645807"/>
    <w:rsid w:val="00646114"/>
    <w:rsid w:val="006461F5"/>
    <w:rsid w:val="00647909"/>
    <w:rsid w:val="006526F2"/>
    <w:rsid w:val="00657C0A"/>
    <w:rsid w:val="006620F0"/>
    <w:rsid w:val="006720A3"/>
    <w:rsid w:val="006B2FA5"/>
    <w:rsid w:val="006D32B9"/>
    <w:rsid w:val="007000CD"/>
    <w:rsid w:val="007125DF"/>
    <w:rsid w:val="0074150D"/>
    <w:rsid w:val="00744DDA"/>
    <w:rsid w:val="007514D6"/>
    <w:rsid w:val="00753496"/>
    <w:rsid w:val="00773BC0"/>
    <w:rsid w:val="007B2EF2"/>
    <w:rsid w:val="007B3F02"/>
    <w:rsid w:val="007D305B"/>
    <w:rsid w:val="007E3338"/>
    <w:rsid w:val="008012BB"/>
    <w:rsid w:val="008334A1"/>
    <w:rsid w:val="00841496"/>
    <w:rsid w:val="0084211B"/>
    <w:rsid w:val="00842224"/>
    <w:rsid w:val="00846C98"/>
    <w:rsid w:val="00886C31"/>
    <w:rsid w:val="008A3716"/>
    <w:rsid w:val="008A52AB"/>
    <w:rsid w:val="008C6DEA"/>
    <w:rsid w:val="008E6C26"/>
    <w:rsid w:val="00943965"/>
    <w:rsid w:val="00971414"/>
    <w:rsid w:val="0099140D"/>
    <w:rsid w:val="00994A59"/>
    <w:rsid w:val="009C6CC0"/>
    <w:rsid w:val="009D371F"/>
    <w:rsid w:val="009E058C"/>
    <w:rsid w:val="009E13CB"/>
    <w:rsid w:val="009F3CFE"/>
    <w:rsid w:val="009F4135"/>
    <w:rsid w:val="009F6E08"/>
    <w:rsid w:val="00A4076E"/>
    <w:rsid w:val="00A4139A"/>
    <w:rsid w:val="00A668B5"/>
    <w:rsid w:val="00A83766"/>
    <w:rsid w:val="00AA5B6B"/>
    <w:rsid w:val="00AB1D27"/>
    <w:rsid w:val="00AB2E3F"/>
    <w:rsid w:val="00AB6470"/>
    <w:rsid w:val="00AC3D02"/>
    <w:rsid w:val="00AD71FD"/>
    <w:rsid w:val="00AE62AD"/>
    <w:rsid w:val="00B02064"/>
    <w:rsid w:val="00B11D07"/>
    <w:rsid w:val="00B13608"/>
    <w:rsid w:val="00B150DB"/>
    <w:rsid w:val="00B41B36"/>
    <w:rsid w:val="00B450B6"/>
    <w:rsid w:val="00B678E6"/>
    <w:rsid w:val="00B91AFC"/>
    <w:rsid w:val="00BA165F"/>
    <w:rsid w:val="00BD0A74"/>
    <w:rsid w:val="00BE4488"/>
    <w:rsid w:val="00C03741"/>
    <w:rsid w:val="00C12959"/>
    <w:rsid w:val="00C37A00"/>
    <w:rsid w:val="00C55741"/>
    <w:rsid w:val="00C653D7"/>
    <w:rsid w:val="00C71220"/>
    <w:rsid w:val="00C82C5B"/>
    <w:rsid w:val="00CB3915"/>
    <w:rsid w:val="00CD3249"/>
    <w:rsid w:val="00D03478"/>
    <w:rsid w:val="00D1393E"/>
    <w:rsid w:val="00D27519"/>
    <w:rsid w:val="00D533BB"/>
    <w:rsid w:val="00D54796"/>
    <w:rsid w:val="00D64DD6"/>
    <w:rsid w:val="00D70BBE"/>
    <w:rsid w:val="00D745F9"/>
    <w:rsid w:val="00D7603A"/>
    <w:rsid w:val="00D93D57"/>
    <w:rsid w:val="00D94FD5"/>
    <w:rsid w:val="00D962B0"/>
    <w:rsid w:val="00DA45C3"/>
    <w:rsid w:val="00DC1F49"/>
    <w:rsid w:val="00DC566C"/>
    <w:rsid w:val="00DC7777"/>
    <w:rsid w:val="00DD64C2"/>
    <w:rsid w:val="00DE012B"/>
    <w:rsid w:val="00DF6026"/>
    <w:rsid w:val="00E0180D"/>
    <w:rsid w:val="00E018E9"/>
    <w:rsid w:val="00E02B72"/>
    <w:rsid w:val="00E20197"/>
    <w:rsid w:val="00E26A7E"/>
    <w:rsid w:val="00E42324"/>
    <w:rsid w:val="00E446AC"/>
    <w:rsid w:val="00E5062A"/>
    <w:rsid w:val="00E53D75"/>
    <w:rsid w:val="00E54648"/>
    <w:rsid w:val="00E5544D"/>
    <w:rsid w:val="00E641DD"/>
    <w:rsid w:val="00E66D8F"/>
    <w:rsid w:val="00EA75DB"/>
    <w:rsid w:val="00EB03FB"/>
    <w:rsid w:val="00EB2047"/>
    <w:rsid w:val="00EB2C83"/>
    <w:rsid w:val="00EB37CE"/>
    <w:rsid w:val="00EC4112"/>
    <w:rsid w:val="00F07013"/>
    <w:rsid w:val="00F12057"/>
    <w:rsid w:val="00F1728A"/>
    <w:rsid w:val="00F41577"/>
    <w:rsid w:val="00F52CB3"/>
    <w:rsid w:val="00F72D9F"/>
    <w:rsid w:val="00F76185"/>
    <w:rsid w:val="00F77CA5"/>
    <w:rsid w:val="00F80596"/>
    <w:rsid w:val="00F8069C"/>
    <w:rsid w:val="00F86E84"/>
    <w:rsid w:val="00FA65FA"/>
    <w:rsid w:val="00FB00FD"/>
    <w:rsid w:val="00FB6697"/>
    <w:rsid w:val="00FF6748"/>
    <w:rsid w:val="00FF6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EEF8"/>
  <w15:chartTrackingRefBased/>
  <w15:docId w15:val="{213F37AE-33E1-44F0-9AA4-CB0F1E9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64"/>
    <w:pPr>
      <w:ind w:left="720"/>
      <w:contextualSpacing/>
    </w:pPr>
  </w:style>
  <w:style w:type="paragraph" w:customStyle="1" w:styleId="apapaoi">
    <w:name w:val="apapaoi"/>
    <w:basedOn w:val="Normal"/>
    <w:rsid w:val="003D3C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3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28"/>
  </w:style>
  <w:style w:type="paragraph" w:styleId="Footer">
    <w:name w:val="footer"/>
    <w:basedOn w:val="Normal"/>
    <w:link w:val="FooterChar"/>
    <w:uiPriority w:val="99"/>
    <w:unhideWhenUsed/>
    <w:rsid w:val="0043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28"/>
  </w:style>
  <w:style w:type="character" w:styleId="FootnoteReference">
    <w:name w:val="footnote reference"/>
    <w:basedOn w:val="DefaultParagraphFont"/>
    <w:uiPriority w:val="99"/>
    <w:semiHidden/>
    <w:unhideWhenUsed/>
    <w:rsid w:val="00D94FD5"/>
  </w:style>
  <w:style w:type="paragraph" w:customStyle="1" w:styleId="Style1">
    <w:name w:val="Style1"/>
    <w:basedOn w:val="Normal"/>
    <w:uiPriority w:val="99"/>
    <w:rsid w:val="00842224"/>
    <w:pPr>
      <w:widowControl w:val="0"/>
      <w:autoSpaceDE w:val="0"/>
      <w:autoSpaceDN w:val="0"/>
      <w:adjustRightInd w:val="0"/>
      <w:spacing w:after="0" w:line="254" w:lineRule="exact"/>
      <w:jc w:val="both"/>
    </w:pPr>
    <w:rPr>
      <w:rFonts w:ascii="Arial" w:eastAsiaTheme="minorEastAsia" w:hAnsi="Arial" w:cs="Arial"/>
      <w:kern w:val="0"/>
      <w:sz w:val="24"/>
      <w:szCs w:val="24"/>
      <w:lang w:val="el-GR" w:eastAsia="el-GR"/>
      <w14:ligatures w14:val="none"/>
    </w:rPr>
  </w:style>
  <w:style w:type="paragraph" w:customStyle="1" w:styleId="Style3">
    <w:name w:val="Style3"/>
    <w:basedOn w:val="Normal"/>
    <w:uiPriority w:val="99"/>
    <w:rsid w:val="00842224"/>
    <w:pPr>
      <w:widowControl w:val="0"/>
      <w:autoSpaceDE w:val="0"/>
      <w:autoSpaceDN w:val="0"/>
      <w:adjustRightInd w:val="0"/>
      <w:spacing w:after="0" w:line="240" w:lineRule="auto"/>
    </w:pPr>
    <w:rPr>
      <w:rFonts w:ascii="Arial" w:eastAsiaTheme="minorEastAsia" w:hAnsi="Arial" w:cs="Arial"/>
      <w:kern w:val="0"/>
      <w:sz w:val="24"/>
      <w:szCs w:val="24"/>
      <w:lang w:val="el-GR" w:eastAsia="el-GR"/>
      <w14:ligatures w14:val="none"/>
    </w:rPr>
  </w:style>
  <w:style w:type="character" w:customStyle="1" w:styleId="FontStyle11">
    <w:name w:val="Font Style11"/>
    <w:basedOn w:val="DefaultParagraphFont"/>
    <w:uiPriority w:val="99"/>
    <w:rsid w:val="0084222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753">
      <w:bodyDiv w:val="1"/>
      <w:marLeft w:val="0"/>
      <w:marRight w:val="0"/>
      <w:marTop w:val="0"/>
      <w:marBottom w:val="0"/>
      <w:divBdr>
        <w:top w:val="none" w:sz="0" w:space="0" w:color="auto"/>
        <w:left w:val="none" w:sz="0" w:space="0" w:color="auto"/>
        <w:bottom w:val="none" w:sz="0" w:space="0" w:color="auto"/>
        <w:right w:val="none" w:sz="0" w:space="0" w:color="auto"/>
      </w:divBdr>
    </w:div>
    <w:div w:id="144275637">
      <w:bodyDiv w:val="1"/>
      <w:marLeft w:val="0"/>
      <w:marRight w:val="0"/>
      <w:marTop w:val="0"/>
      <w:marBottom w:val="0"/>
      <w:divBdr>
        <w:top w:val="none" w:sz="0" w:space="0" w:color="auto"/>
        <w:left w:val="none" w:sz="0" w:space="0" w:color="auto"/>
        <w:bottom w:val="none" w:sz="0" w:space="0" w:color="auto"/>
        <w:right w:val="none" w:sz="0" w:space="0" w:color="auto"/>
      </w:divBdr>
    </w:div>
    <w:div w:id="146938632">
      <w:bodyDiv w:val="1"/>
      <w:marLeft w:val="0"/>
      <w:marRight w:val="0"/>
      <w:marTop w:val="0"/>
      <w:marBottom w:val="0"/>
      <w:divBdr>
        <w:top w:val="none" w:sz="0" w:space="0" w:color="auto"/>
        <w:left w:val="none" w:sz="0" w:space="0" w:color="auto"/>
        <w:bottom w:val="none" w:sz="0" w:space="0" w:color="auto"/>
        <w:right w:val="none" w:sz="0" w:space="0" w:color="auto"/>
      </w:divBdr>
    </w:div>
    <w:div w:id="500396339">
      <w:bodyDiv w:val="1"/>
      <w:marLeft w:val="0"/>
      <w:marRight w:val="0"/>
      <w:marTop w:val="0"/>
      <w:marBottom w:val="0"/>
      <w:divBdr>
        <w:top w:val="none" w:sz="0" w:space="0" w:color="auto"/>
        <w:left w:val="none" w:sz="0" w:space="0" w:color="auto"/>
        <w:bottom w:val="none" w:sz="0" w:space="0" w:color="auto"/>
        <w:right w:val="none" w:sz="0" w:space="0" w:color="auto"/>
      </w:divBdr>
    </w:div>
    <w:div w:id="18417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Demosthenous  Pinelopi</cp:lastModifiedBy>
  <cp:revision>3</cp:revision>
  <cp:lastPrinted>2023-11-09T10:31:00Z</cp:lastPrinted>
  <dcterms:created xsi:type="dcterms:W3CDTF">2023-11-10T11:10:00Z</dcterms:created>
  <dcterms:modified xsi:type="dcterms:W3CDTF">2023-11-14T09:57:00Z</dcterms:modified>
</cp:coreProperties>
</file>